
<file path=[Content_Types].xml><?xml version="1.0" encoding="utf-8"?>
<Types xmlns="http://schemas.openxmlformats.org/package/2006/content-types">
  <Default Extension="jpeg" ContentType="image/jpeg"/>
  <Default Extension="JPG" ContentType="image/.jp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B56EC1">
      <w:pPr>
        <w:jc w:val="center"/>
        <w:rPr>
          <w:rFonts w:hint="default"/>
          <w:b/>
          <w:color w:val="FF0000"/>
          <w:sz w:val="28"/>
          <w:szCs w:val="28"/>
          <w:lang w:val="ru-RU"/>
        </w:rPr>
      </w:pPr>
      <w:r>
        <w:rPr>
          <w:b/>
          <w:sz w:val="28"/>
          <w:szCs w:val="28"/>
        </w:rPr>
        <w:drawing>
          <wp:anchor distT="0" distB="0" distL="114300" distR="114300" simplePos="0" relativeHeight="251659264" behindDoc="0" locked="0" layoutInCell="1" allowOverlap="1">
            <wp:simplePos x="0" y="0"/>
            <wp:positionH relativeFrom="column">
              <wp:posOffset>2588895</wp:posOffset>
            </wp:positionH>
            <wp:positionV relativeFrom="paragraph">
              <wp:posOffset>0</wp:posOffset>
            </wp:positionV>
            <wp:extent cx="546100" cy="644525"/>
            <wp:effectExtent l="0" t="0" r="6350" b="3175"/>
            <wp:wrapSquare wrapText="bothSides"/>
            <wp:docPr id="1" name="Рисунок 1" descr="Лаголов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Лаголово_герб"/>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546100" cy="644525"/>
                    </a:xfrm>
                    <a:prstGeom prst="rect">
                      <a:avLst/>
                    </a:prstGeom>
                    <a:noFill/>
                    <a:ln>
                      <a:noFill/>
                    </a:ln>
                  </pic:spPr>
                </pic:pic>
              </a:graphicData>
            </a:graphic>
          </wp:anchor>
        </w:drawing>
      </w:r>
      <w:r>
        <w:rPr>
          <w:rFonts w:hint="default"/>
          <w:b/>
          <w:sz w:val="28"/>
          <w:szCs w:val="28"/>
          <w:lang w:val="ru-RU"/>
        </w:rPr>
        <w:tab/>
        <w:t/>
      </w:r>
      <w:r>
        <w:rPr>
          <w:rFonts w:hint="default"/>
          <w:b/>
          <w:sz w:val="28"/>
          <w:szCs w:val="28"/>
          <w:lang w:val="ru-RU"/>
        </w:rPr>
        <w:tab/>
        <w:t/>
      </w:r>
      <w:r>
        <w:rPr>
          <w:rFonts w:hint="default"/>
          <w:b/>
          <w:sz w:val="28"/>
          <w:szCs w:val="28"/>
          <w:lang w:val="ru-RU"/>
        </w:rPr>
        <w:tab/>
        <w:t/>
      </w:r>
      <w:r>
        <w:rPr>
          <w:rFonts w:hint="default"/>
          <w:b/>
          <w:sz w:val="28"/>
          <w:szCs w:val="28"/>
          <w:lang w:val="ru-RU"/>
        </w:rPr>
        <w:tab/>
        <w:t/>
      </w:r>
      <w:r>
        <w:rPr>
          <w:rFonts w:hint="default"/>
          <w:b/>
          <w:sz w:val="28"/>
          <w:szCs w:val="28"/>
          <w:lang w:val="ru-RU"/>
        </w:rPr>
        <w:tab/>
        <w:t/>
      </w:r>
      <w:r>
        <w:rPr>
          <w:rFonts w:hint="default"/>
          <w:b/>
          <w:sz w:val="28"/>
          <w:szCs w:val="28"/>
          <w:lang w:val="ru-RU"/>
        </w:rPr>
        <w:tab/>
      </w:r>
      <w:r>
        <w:rPr>
          <w:rFonts w:hint="default"/>
          <w:b/>
          <w:color w:val="FF0000"/>
          <w:sz w:val="28"/>
          <w:szCs w:val="28"/>
          <w:lang w:val="ru-RU"/>
        </w:rPr>
        <w:t>ПРОЕКТ</w:t>
      </w:r>
      <w:bookmarkStart w:id="0" w:name="_GoBack"/>
      <w:bookmarkEnd w:id="0"/>
    </w:p>
    <w:p w14:paraId="76781EB7">
      <w:pPr>
        <w:jc w:val="center"/>
        <w:rPr>
          <w:b/>
          <w:sz w:val="28"/>
          <w:szCs w:val="28"/>
        </w:rPr>
      </w:pPr>
    </w:p>
    <w:p w14:paraId="20627775">
      <w:pPr>
        <w:jc w:val="center"/>
        <w:rPr>
          <w:b/>
          <w:sz w:val="28"/>
          <w:szCs w:val="28"/>
        </w:rPr>
      </w:pPr>
    </w:p>
    <w:p w14:paraId="2538EA8D">
      <w:pPr>
        <w:jc w:val="center"/>
        <w:rPr>
          <w:b/>
          <w:sz w:val="28"/>
          <w:szCs w:val="28"/>
        </w:rPr>
      </w:pPr>
    </w:p>
    <w:p w14:paraId="7D21A75F">
      <w:pPr>
        <w:jc w:val="center"/>
        <w:rPr>
          <w:b/>
          <w:sz w:val="28"/>
          <w:szCs w:val="28"/>
        </w:rPr>
      </w:pPr>
      <w:r>
        <w:rPr>
          <w:b/>
          <w:sz w:val="28"/>
          <w:szCs w:val="28"/>
        </w:rPr>
        <w:t>АДМИНИСТРАЦИЯ</w:t>
      </w:r>
    </w:p>
    <w:p w14:paraId="045FF190">
      <w:pPr>
        <w:jc w:val="center"/>
        <w:rPr>
          <w:b/>
          <w:sz w:val="28"/>
          <w:szCs w:val="28"/>
        </w:rPr>
      </w:pPr>
      <w:r>
        <w:rPr>
          <w:b/>
          <w:sz w:val="28"/>
          <w:szCs w:val="28"/>
        </w:rPr>
        <w:t>Лаголовского сельского поселения</w:t>
      </w:r>
    </w:p>
    <w:p w14:paraId="6698ACEA">
      <w:pPr>
        <w:jc w:val="center"/>
        <w:rPr>
          <w:b/>
          <w:sz w:val="28"/>
          <w:szCs w:val="28"/>
        </w:rPr>
      </w:pPr>
      <w:r>
        <w:rPr>
          <w:b/>
          <w:sz w:val="28"/>
          <w:szCs w:val="28"/>
        </w:rPr>
        <w:t>Ломоносовского муниципального района</w:t>
      </w:r>
    </w:p>
    <w:p w14:paraId="42058DB7">
      <w:pPr>
        <w:jc w:val="center"/>
        <w:rPr>
          <w:b/>
          <w:sz w:val="28"/>
          <w:szCs w:val="28"/>
        </w:rPr>
      </w:pPr>
      <w:r>
        <w:rPr>
          <w:b/>
          <w:sz w:val="28"/>
          <w:szCs w:val="28"/>
        </w:rPr>
        <w:t>Ленинградской области</w:t>
      </w:r>
    </w:p>
    <w:p w14:paraId="0EDADBD0">
      <w:pPr>
        <w:rPr>
          <w:b/>
          <w:sz w:val="28"/>
          <w:szCs w:val="28"/>
        </w:rPr>
      </w:pPr>
    </w:p>
    <w:p w14:paraId="2485758A">
      <w:pPr>
        <w:rPr>
          <w:b/>
          <w:sz w:val="28"/>
          <w:szCs w:val="28"/>
        </w:rPr>
      </w:pPr>
    </w:p>
    <w:p w14:paraId="2D9CB727">
      <w:pPr>
        <w:jc w:val="center"/>
        <w:rPr>
          <w:b/>
          <w:sz w:val="28"/>
          <w:szCs w:val="28"/>
        </w:rPr>
      </w:pPr>
      <w:r>
        <w:rPr>
          <w:b/>
          <w:sz w:val="28"/>
          <w:szCs w:val="28"/>
        </w:rPr>
        <w:t>ПОСТАНОВЛЕНИЕ</w:t>
      </w:r>
    </w:p>
    <w:p w14:paraId="701CBA77">
      <w:pPr>
        <w:jc w:val="center"/>
        <w:rPr>
          <w:b/>
          <w:sz w:val="28"/>
          <w:szCs w:val="28"/>
        </w:rPr>
      </w:pPr>
    </w:p>
    <w:p w14:paraId="03F98CA5">
      <w:pPr>
        <w:jc w:val="center"/>
        <w:rPr>
          <w:b/>
          <w:sz w:val="28"/>
          <w:szCs w:val="28"/>
        </w:rPr>
      </w:pPr>
    </w:p>
    <w:p w14:paraId="45EE460B">
      <w:pPr>
        <w:rPr>
          <w:b/>
          <w:sz w:val="28"/>
          <w:szCs w:val="28"/>
        </w:rPr>
      </w:pPr>
      <w:r>
        <w:rPr>
          <w:sz w:val="28"/>
          <w:szCs w:val="28"/>
        </w:rPr>
        <w:t>Ленинградская обл.</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
    <w:p w14:paraId="3A651E1D">
      <w:pPr>
        <w:rPr>
          <w:sz w:val="28"/>
          <w:szCs w:val="28"/>
        </w:rPr>
      </w:pPr>
      <w:r>
        <w:rPr>
          <w:sz w:val="28"/>
          <w:szCs w:val="28"/>
        </w:rPr>
        <w:t>д. Лаголово</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
    <w:p w14:paraId="71894E02">
      <w:pPr>
        <w:rPr>
          <w:sz w:val="28"/>
          <w:szCs w:val="28"/>
        </w:rPr>
      </w:pPr>
    </w:p>
    <w:p w14:paraId="0D40EEAC">
      <w:pPr>
        <w:jc w:val="both"/>
        <w:rPr>
          <w:sz w:val="28"/>
          <w:szCs w:val="28"/>
        </w:rPr>
      </w:pPr>
    </w:p>
    <w:p w14:paraId="16218C46">
      <w:pPr>
        <w:rPr>
          <w:i/>
          <w:sz w:val="28"/>
          <w:szCs w:val="28"/>
        </w:rPr>
      </w:pPr>
      <w:r>
        <w:rPr>
          <w:i/>
          <w:sz w:val="28"/>
          <w:szCs w:val="28"/>
        </w:rPr>
        <w:t>Об утверждении норматива стоимости одного квадратного метра общей площади жилья на территории Лаголовского сельского поселения</w:t>
      </w:r>
    </w:p>
    <w:p w14:paraId="67FF229C">
      <w:pPr>
        <w:rPr>
          <w:i/>
          <w:sz w:val="28"/>
          <w:szCs w:val="28"/>
        </w:rPr>
      </w:pPr>
      <w:r>
        <w:rPr>
          <w:i/>
          <w:sz w:val="28"/>
          <w:szCs w:val="28"/>
        </w:rPr>
        <w:t>на 4 квартал 2025 года</w:t>
      </w:r>
    </w:p>
    <w:p w14:paraId="3E9044C0">
      <w:pPr>
        <w:rPr>
          <w:sz w:val="28"/>
          <w:szCs w:val="28"/>
        </w:rPr>
      </w:pPr>
    </w:p>
    <w:p w14:paraId="0DAB11EB">
      <w:pPr>
        <w:ind w:firstLine="709"/>
        <w:jc w:val="both"/>
        <w:rPr>
          <w:sz w:val="28"/>
          <w:szCs w:val="28"/>
        </w:rPr>
      </w:pPr>
      <w:r>
        <w:rPr>
          <w:sz w:val="28"/>
          <w:szCs w:val="28"/>
        </w:rPr>
        <w:t xml:space="preserve">Руководствуясь Приказом Минстроя России </w:t>
      </w:r>
      <w:r>
        <w:rPr>
          <w:sz w:val="28"/>
          <w:szCs w:val="28"/>
          <w:shd w:val="clear" w:color="auto" w:fill="FFFFFF"/>
        </w:rPr>
        <w:t xml:space="preserve">от 22 сентября 2025 года </w:t>
      </w:r>
      <w:r>
        <w:rPr>
          <w:sz w:val="28"/>
          <w:szCs w:val="28"/>
          <w:shd w:val="clear" w:color="auto" w:fill="FFFFFF"/>
          <w:lang w:val="en-US"/>
        </w:rPr>
        <w:t>N</w:t>
      </w:r>
      <w:r>
        <w:rPr>
          <w:sz w:val="28"/>
          <w:szCs w:val="28"/>
          <w:shd w:val="clear" w:color="auto" w:fill="FFFFFF"/>
        </w:rPr>
        <w:t xml:space="preserve">563/пр «О средней рыночной стоимости </w:t>
      </w:r>
      <w:r>
        <w:rPr>
          <w:sz w:val="28"/>
          <w:szCs w:val="28"/>
        </w:rPr>
        <w:t>одного квадратного метра</w:t>
      </w:r>
      <w:r>
        <w:rPr>
          <w:sz w:val="28"/>
          <w:szCs w:val="28"/>
          <w:shd w:val="clear" w:color="auto" w:fill="FFFFFF"/>
        </w:rPr>
        <w:t xml:space="preserve"> общей площади жилого помещения по субъектам Российской Федерации на </w:t>
      </w:r>
      <w:r>
        <w:rPr>
          <w:sz w:val="28"/>
          <w:szCs w:val="28"/>
          <w:shd w:val="clear" w:color="auto" w:fill="FFFFFF"/>
          <w:lang w:val="en-US"/>
        </w:rPr>
        <w:t>IV</w:t>
      </w:r>
      <w:r>
        <w:rPr>
          <w:sz w:val="28"/>
          <w:szCs w:val="28"/>
          <w:shd w:val="clear" w:color="auto" w:fill="FFFFFF"/>
        </w:rPr>
        <w:t xml:space="preserve"> квартал 2025 года»</w:t>
      </w:r>
      <w:r>
        <w:rPr>
          <w:sz w:val="28"/>
          <w:szCs w:val="28"/>
        </w:rPr>
        <w:t xml:space="preserve">, методическими рекомендациями по определению норматива стоимости одного квадратного метра общей площади жилья в муниципальных образованиях Ленинградской области и стоимости одного квадратного метра общей площади жилья на сельских территориях Ленинградской области, утвержденными в соответствии с распоряжением Комитета по строительству Ленинградской области от 31 января 2024 года </w:t>
      </w:r>
      <w:r>
        <w:rPr>
          <w:sz w:val="28"/>
          <w:szCs w:val="28"/>
          <w:lang w:val="en-US"/>
        </w:rPr>
        <w:t>N</w:t>
      </w:r>
      <w:r>
        <w:rPr>
          <w:sz w:val="28"/>
          <w:szCs w:val="28"/>
        </w:rPr>
        <w:t>131 «О мерах по обеспечению осуществления полномочий комитета по строительству Ленинградской области по расчету размера субсидий и социальных выплат, предоставляемых на строительство (приобретение) жилья за счет средств областного бюджета Ленинградской области в рамках реализации на территории Ленинградской области мероприятий государственных программ Российской Федерации «Обеспечение доступным и комфортным жильем и коммунальными услугами граждан Российской Федерации» и «Комплексное развитие сельских территорий», а также мероприятий государственных программ Ленинградской области «Формирование городской среды и обеспечение качественным жильем граждан на территории Ленинградской области» государственной программы «Комплексное развитие сельских территорий Ленинградской области», Уставом Лаголовского сельского поселения, администрация Лаголовского сельского поселения Ломоносовского муниципального района Ленинградской области</w:t>
      </w:r>
    </w:p>
    <w:p w14:paraId="54D97817">
      <w:pPr>
        <w:rPr>
          <w:sz w:val="28"/>
          <w:szCs w:val="28"/>
        </w:rPr>
      </w:pPr>
    </w:p>
    <w:p w14:paraId="3039A9A9">
      <w:pPr>
        <w:jc w:val="center"/>
        <w:rPr>
          <w:sz w:val="28"/>
          <w:szCs w:val="28"/>
        </w:rPr>
      </w:pPr>
      <w:r>
        <w:rPr>
          <w:sz w:val="28"/>
          <w:szCs w:val="28"/>
        </w:rPr>
        <w:t>ПОСТАНОВЛЯЕТ:</w:t>
      </w:r>
    </w:p>
    <w:p w14:paraId="67194C41">
      <w:pPr>
        <w:shd w:val="clear" w:color="auto" w:fill="FFFFFF"/>
        <w:ind w:firstLine="708"/>
        <w:jc w:val="both"/>
        <w:rPr>
          <w:sz w:val="28"/>
          <w:szCs w:val="28"/>
        </w:rPr>
      </w:pPr>
    </w:p>
    <w:p w14:paraId="12CD7F15">
      <w:pPr>
        <w:pStyle w:val="4"/>
        <w:numPr>
          <w:ilvl w:val="0"/>
          <w:numId w:val="1"/>
        </w:numPr>
        <w:ind w:left="0" w:firstLine="708"/>
        <w:jc w:val="both"/>
        <w:rPr>
          <w:sz w:val="28"/>
          <w:szCs w:val="28"/>
        </w:rPr>
      </w:pPr>
      <w:r>
        <w:rPr>
          <w:sz w:val="28"/>
          <w:szCs w:val="28"/>
        </w:rPr>
        <w:t xml:space="preserve">Утвердить на 4 квартал 2025 года норматив стоимости одного квадратного метра общей площади жилья на территории Лаголовского сельского поселения Ломоносовского муниципального района Ленинградской области, применяемый в рамках реализации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а также мероприятий по улучшению жилищных условий молодых граждан (молодых семей) и по улучшению жилищных условий граждан с использованием средств ипотечного кредита (займа)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 в размере </w:t>
      </w:r>
      <w:r>
        <w:rPr>
          <w:b/>
          <w:i/>
          <w:sz w:val="28"/>
          <w:szCs w:val="28"/>
        </w:rPr>
        <w:t>129 228 (сто двадцать девять тысяч двести двадцать восемь) рублей 47 копеек</w:t>
      </w:r>
      <w:r>
        <w:rPr>
          <w:sz w:val="28"/>
          <w:szCs w:val="28"/>
        </w:rPr>
        <w:t xml:space="preserve"> (расчет норматива приложение 1 к настоящему постановлению).</w:t>
      </w:r>
    </w:p>
    <w:p w14:paraId="610385EC">
      <w:pPr>
        <w:pStyle w:val="4"/>
        <w:numPr>
          <w:ilvl w:val="0"/>
          <w:numId w:val="1"/>
        </w:numPr>
        <w:ind w:left="0" w:firstLine="708"/>
        <w:jc w:val="both"/>
        <w:rPr>
          <w:sz w:val="28"/>
          <w:szCs w:val="28"/>
        </w:rPr>
      </w:pPr>
      <w:r>
        <w:rPr>
          <w:sz w:val="28"/>
          <w:szCs w:val="28"/>
        </w:rPr>
        <w:t>Настоящее постановление вступает в силу со дня его официального опубликования (обнародования). Разместить постановление на официальном сайте Лаголовского сельского поселения.</w:t>
      </w:r>
    </w:p>
    <w:p w14:paraId="663871DB">
      <w:pPr>
        <w:pStyle w:val="4"/>
        <w:numPr>
          <w:ilvl w:val="0"/>
          <w:numId w:val="1"/>
        </w:numPr>
        <w:ind w:left="0" w:firstLine="708"/>
        <w:jc w:val="both"/>
        <w:rPr>
          <w:sz w:val="28"/>
          <w:szCs w:val="28"/>
        </w:rPr>
      </w:pPr>
      <w:r>
        <w:rPr>
          <w:sz w:val="28"/>
          <w:szCs w:val="28"/>
        </w:rPr>
        <w:t>Контроль исполнения постановления оставляю за собой.</w:t>
      </w:r>
    </w:p>
    <w:p w14:paraId="1B549CCC">
      <w:pPr>
        <w:jc w:val="both"/>
        <w:rPr>
          <w:sz w:val="28"/>
          <w:szCs w:val="28"/>
        </w:rPr>
      </w:pPr>
    </w:p>
    <w:p w14:paraId="1797AC4E">
      <w:pPr>
        <w:jc w:val="both"/>
        <w:rPr>
          <w:sz w:val="28"/>
          <w:szCs w:val="28"/>
        </w:rPr>
      </w:pPr>
    </w:p>
    <w:p w14:paraId="30BF06B4">
      <w:pPr>
        <w:jc w:val="both"/>
        <w:rPr>
          <w:sz w:val="28"/>
          <w:szCs w:val="28"/>
        </w:rPr>
      </w:pPr>
    </w:p>
    <w:p w14:paraId="37772275">
      <w:pPr>
        <w:rPr>
          <w:b/>
          <w:sz w:val="28"/>
          <w:szCs w:val="28"/>
        </w:rPr>
      </w:pPr>
      <w:r>
        <w:rPr>
          <w:b/>
          <w:sz w:val="28"/>
          <w:szCs w:val="28"/>
        </w:rPr>
        <w:t>Глава администрации</w:t>
      </w:r>
    </w:p>
    <w:p w14:paraId="50C5689B">
      <w:pPr>
        <w:rPr>
          <w:b/>
          <w:sz w:val="28"/>
          <w:szCs w:val="28"/>
        </w:rPr>
      </w:pPr>
      <w:r>
        <w:rPr>
          <w:b/>
          <w:sz w:val="28"/>
          <w:szCs w:val="28"/>
        </w:rPr>
        <w:t>Лаголовского сельского поселения</w:t>
      </w:r>
      <w:r>
        <w:rPr>
          <w:b/>
          <w:sz w:val="28"/>
          <w:szCs w:val="28"/>
        </w:rPr>
        <w:tab/>
      </w:r>
      <w:r>
        <w:rPr>
          <w:b/>
          <w:sz w:val="28"/>
          <w:szCs w:val="28"/>
        </w:rPr>
        <w:tab/>
      </w:r>
      <w:r>
        <w:rPr>
          <w:b/>
          <w:sz w:val="28"/>
          <w:szCs w:val="28"/>
        </w:rPr>
        <w:tab/>
      </w:r>
      <w:r>
        <w:rPr>
          <w:b/>
          <w:sz w:val="28"/>
          <w:szCs w:val="28"/>
        </w:rPr>
        <w:tab/>
      </w:r>
      <w:r>
        <w:rPr>
          <w:b/>
          <w:sz w:val="28"/>
          <w:szCs w:val="28"/>
        </w:rPr>
        <w:t xml:space="preserve">   Д.И. Селиванов</w:t>
      </w:r>
    </w:p>
    <w:p w14:paraId="6D4A7DEC">
      <w:pPr>
        <w:suppressAutoHyphens w:val="0"/>
        <w:autoSpaceDN/>
        <w:spacing w:after="160" w:line="259" w:lineRule="auto"/>
        <w:textAlignment w:val="auto"/>
        <w:rPr>
          <w:sz w:val="28"/>
          <w:szCs w:val="28"/>
        </w:rPr>
      </w:pPr>
      <w:r>
        <w:rPr>
          <w:sz w:val="28"/>
          <w:szCs w:val="28"/>
        </w:rPr>
        <w:br w:type="page"/>
      </w:r>
    </w:p>
    <w:p w14:paraId="6D18EFD7">
      <w:pPr>
        <w:ind w:left="720"/>
        <w:jc w:val="right"/>
        <w:rPr>
          <w:sz w:val="28"/>
          <w:szCs w:val="28"/>
        </w:rPr>
      </w:pPr>
      <w:r>
        <w:rPr>
          <w:sz w:val="28"/>
          <w:szCs w:val="28"/>
        </w:rPr>
        <w:t>Приложение</w:t>
      </w:r>
    </w:p>
    <w:p w14:paraId="6C68D63E">
      <w:pPr>
        <w:ind w:left="720"/>
        <w:jc w:val="right"/>
        <w:rPr>
          <w:sz w:val="28"/>
          <w:szCs w:val="28"/>
        </w:rPr>
      </w:pPr>
      <w:r>
        <w:rPr>
          <w:sz w:val="28"/>
          <w:szCs w:val="28"/>
        </w:rPr>
        <w:t>к постановлению администрации</w:t>
      </w:r>
    </w:p>
    <w:p w14:paraId="0953FE4D">
      <w:pPr>
        <w:ind w:left="720"/>
        <w:jc w:val="right"/>
        <w:rPr>
          <w:sz w:val="28"/>
          <w:szCs w:val="28"/>
        </w:rPr>
      </w:pPr>
      <w:r>
        <w:rPr>
          <w:sz w:val="28"/>
          <w:szCs w:val="28"/>
        </w:rPr>
        <w:t>Лаголовского сельского поселения</w:t>
      </w:r>
    </w:p>
    <w:p w14:paraId="7C9C704F">
      <w:pPr>
        <w:ind w:left="720"/>
        <w:jc w:val="right"/>
        <w:rPr>
          <w:sz w:val="28"/>
          <w:szCs w:val="28"/>
        </w:rPr>
      </w:pPr>
      <w:r>
        <w:rPr>
          <w:sz w:val="28"/>
          <w:szCs w:val="28"/>
        </w:rPr>
        <w:t>_____________________________</w:t>
      </w:r>
    </w:p>
    <w:p w14:paraId="431A823B">
      <w:pPr>
        <w:suppressAutoHyphens w:val="0"/>
        <w:autoSpaceDN/>
        <w:spacing w:line="259" w:lineRule="auto"/>
        <w:jc w:val="both"/>
        <w:textAlignment w:val="auto"/>
        <w:rPr>
          <w:sz w:val="28"/>
          <w:szCs w:val="28"/>
        </w:rPr>
      </w:pPr>
    </w:p>
    <w:p w14:paraId="0F15CF20">
      <w:pPr>
        <w:suppressAutoHyphens w:val="0"/>
        <w:autoSpaceDN/>
        <w:spacing w:line="259" w:lineRule="auto"/>
        <w:jc w:val="center"/>
        <w:textAlignment w:val="auto"/>
        <w:rPr>
          <w:b/>
          <w:sz w:val="28"/>
          <w:szCs w:val="28"/>
        </w:rPr>
      </w:pPr>
      <w:r>
        <w:rPr>
          <w:b/>
          <w:sz w:val="28"/>
          <w:szCs w:val="28"/>
        </w:rPr>
        <w:t>Расчет норматива</w:t>
      </w:r>
    </w:p>
    <w:p w14:paraId="75674439">
      <w:pPr>
        <w:suppressAutoHyphens w:val="0"/>
        <w:autoSpaceDN/>
        <w:spacing w:line="259" w:lineRule="auto"/>
        <w:jc w:val="center"/>
        <w:textAlignment w:val="auto"/>
        <w:rPr>
          <w:b/>
          <w:sz w:val="28"/>
          <w:szCs w:val="28"/>
        </w:rPr>
      </w:pPr>
      <w:r>
        <w:rPr>
          <w:b/>
          <w:sz w:val="28"/>
          <w:szCs w:val="28"/>
        </w:rPr>
        <w:t>стоимости одного квадратного метра общей площади жилья</w:t>
      </w:r>
    </w:p>
    <w:p w14:paraId="04C2340A">
      <w:pPr>
        <w:suppressAutoHyphens w:val="0"/>
        <w:autoSpaceDN/>
        <w:spacing w:line="259" w:lineRule="auto"/>
        <w:jc w:val="center"/>
        <w:textAlignment w:val="auto"/>
        <w:rPr>
          <w:b/>
          <w:sz w:val="28"/>
          <w:szCs w:val="28"/>
        </w:rPr>
      </w:pPr>
      <w:r>
        <w:rPr>
          <w:b/>
          <w:sz w:val="28"/>
          <w:szCs w:val="28"/>
        </w:rPr>
        <w:t>в Лаголовского сельского поселения</w:t>
      </w:r>
    </w:p>
    <w:p w14:paraId="42ECEE21">
      <w:pPr>
        <w:suppressAutoHyphens w:val="0"/>
        <w:autoSpaceDN/>
        <w:spacing w:line="259" w:lineRule="auto"/>
        <w:jc w:val="center"/>
        <w:textAlignment w:val="auto"/>
        <w:rPr>
          <w:b/>
          <w:sz w:val="28"/>
          <w:szCs w:val="28"/>
        </w:rPr>
      </w:pPr>
      <w:r>
        <w:rPr>
          <w:b/>
          <w:sz w:val="28"/>
          <w:szCs w:val="28"/>
        </w:rPr>
        <w:t>на I</w:t>
      </w:r>
      <w:r>
        <w:rPr>
          <w:b/>
          <w:sz w:val="28"/>
          <w:szCs w:val="28"/>
          <w:lang w:val="en-US"/>
        </w:rPr>
        <w:t>V</w:t>
      </w:r>
      <w:r>
        <w:rPr>
          <w:b/>
          <w:sz w:val="28"/>
          <w:szCs w:val="28"/>
        </w:rPr>
        <w:t xml:space="preserve"> квартал 2025 года</w:t>
      </w:r>
    </w:p>
    <w:p w14:paraId="2D301A85">
      <w:pPr>
        <w:suppressAutoHyphens w:val="0"/>
        <w:autoSpaceDN/>
        <w:spacing w:line="259" w:lineRule="auto"/>
        <w:jc w:val="both"/>
        <w:textAlignment w:val="auto"/>
        <w:rPr>
          <w:sz w:val="28"/>
          <w:szCs w:val="28"/>
        </w:rPr>
      </w:pPr>
    </w:p>
    <w:p w14:paraId="6A5181F4">
      <w:pPr>
        <w:pStyle w:val="6"/>
        <w:numPr>
          <w:ilvl w:val="1"/>
          <w:numId w:val="2"/>
        </w:numPr>
        <w:jc w:val="both"/>
        <w:rPr>
          <w:rFonts w:ascii="Times New Roman" w:hAnsi="Times New Roman" w:cs="Times New Roman"/>
          <w:sz w:val="28"/>
          <w:szCs w:val="28"/>
        </w:rPr>
      </w:pPr>
      <w:r>
        <w:rPr>
          <w:rFonts w:ascii="Times New Roman" w:hAnsi="Times New Roman" w:cs="Times New Roman"/>
          <w:sz w:val="28"/>
          <w:szCs w:val="28"/>
        </w:rPr>
        <w:t>Сбор исходных данных для определения средней рыночной стоимости одного квадратного метра общей площади жилья на территории Лаголовского сельского поселения Ломоносовского муниципального района Ленинградской области.</w:t>
      </w:r>
    </w:p>
    <w:p w14:paraId="7DB15917">
      <w:pPr>
        <w:pStyle w:val="6"/>
        <w:ind w:firstLine="540"/>
        <w:jc w:val="both"/>
        <w:rPr>
          <w:rFonts w:ascii="Times New Roman" w:hAnsi="Times New Roman" w:cs="Times New Roman"/>
          <w:sz w:val="28"/>
          <w:szCs w:val="28"/>
        </w:rPr>
      </w:pPr>
      <w:r>
        <w:rPr>
          <w:rFonts w:ascii="Times New Roman" w:hAnsi="Times New Roman" w:cs="Times New Roman"/>
          <w:sz w:val="28"/>
          <w:szCs w:val="28"/>
        </w:rPr>
        <w:t>Для определения средней рыночной стоимости одного квадратного метра общей площади жилья на территории муниципального образования Лаголовского сельского поселения Ломоносовского муниципального района Ленинградской области используются следующие исходные данные (показатели):</w:t>
      </w:r>
    </w:p>
    <w:p w14:paraId="0370DCE1">
      <w:pPr>
        <w:pStyle w:val="6"/>
        <w:spacing w:before="220"/>
        <w:ind w:firstLine="540"/>
        <w:jc w:val="both"/>
        <w:rPr>
          <w:rFonts w:ascii="Times New Roman" w:hAnsi="Times New Roman" w:cs="Times New Roman"/>
          <w:sz w:val="28"/>
          <w:szCs w:val="28"/>
        </w:rPr>
      </w:pPr>
      <w:r>
        <w:rPr>
          <w:rFonts w:ascii="Times New Roman" w:hAnsi="Times New Roman" w:cs="Times New Roman"/>
          <w:sz w:val="28"/>
          <w:szCs w:val="28"/>
        </w:rPr>
        <w:t>Ст_дог – стоимость одного квадратного метра площади жилья на территории Лаголовского сельского поселения Ломоносовского муниципального района Ленинградской области согласно договорам на приобретение (строительство) жилых помещений на территории муниципального образования, представленным участниками жилищных программ (мероприятий), действующих на территории Ленинградской области;</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b/>
          <w:i/>
          <w:sz w:val="28"/>
          <w:szCs w:val="28"/>
          <w:u w:val="single"/>
        </w:rPr>
        <w:t>нет данных</w:t>
      </w:r>
    </w:p>
    <w:p w14:paraId="6CA141D5">
      <w:pPr>
        <w:pStyle w:val="6"/>
        <w:spacing w:before="220"/>
        <w:ind w:firstLine="540"/>
        <w:jc w:val="both"/>
        <w:rPr>
          <w:rFonts w:ascii="Times New Roman" w:hAnsi="Times New Roman" w:cs="Times New Roman"/>
          <w:b/>
          <w:i/>
          <w:sz w:val="28"/>
          <w:szCs w:val="28"/>
          <w:u w:val="single"/>
        </w:rPr>
      </w:pPr>
      <w:r>
        <w:rPr>
          <w:rFonts w:ascii="Times New Roman" w:hAnsi="Times New Roman" w:cs="Times New Roman"/>
          <w:sz w:val="28"/>
          <w:szCs w:val="28"/>
        </w:rPr>
        <w:t>Ст_кред – стоимость одного квадратного метра общей площади жилья на территории Лаголовского сельского поселения Ломоносовского муниципального района Ленинградской области согласно сведениям риелторских организаций и кредитных организаций (банков), предоставленным официально или опубликованным в средствах массовой информации, применительно к территории муниципального                                                                 образования;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b/>
          <w:i/>
          <w:sz w:val="28"/>
          <w:szCs w:val="28"/>
          <w:u w:val="single"/>
        </w:rPr>
        <w:t>93 135,43 руб.</w:t>
      </w:r>
    </w:p>
    <w:p w14:paraId="21517614">
      <w:pPr>
        <w:pStyle w:val="6"/>
        <w:spacing w:before="220"/>
        <w:ind w:firstLine="540"/>
        <w:jc w:val="both"/>
        <w:rPr>
          <w:rFonts w:ascii="Times New Roman" w:hAnsi="Times New Roman" w:cs="Times New Roman"/>
          <w:i/>
          <w:sz w:val="28"/>
          <w:szCs w:val="28"/>
          <w:u w:val="single"/>
        </w:rPr>
      </w:pPr>
      <w:r>
        <w:rPr>
          <w:rFonts w:ascii="Times New Roman" w:hAnsi="Times New Roman" w:cs="Times New Roman"/>
          <w:sz w:val="28"/>
          <w:szCs w:val="28"/>
        </w:rPr>
        <w:t>Для расчета показателя средней рыночной стоимости 1 кв. м жилого помещения на территории Лаголовского сельского поселения Ломоносовского муниципального района Ленинградской области использованы данные следующих источников:</w:t>
      </w:r>
    </w:p>
    <w:p w14:paraId="121B9904">
      <w:pPr>
        <w:rPr>
          <w:b/>
          <w:sz w:val="28"/>
          <w:szCs w:val="28"/>
        </w:rPr>
      </w:pPr>
    </w:p>
    <w:p w14:paraId="1BAD42DE">
      <w:pPr>
        <w:numPr>
          <w:ilvl w:val="0"/>
          <w:numId w:val="3"/>
        </w:numPr>
        <w:suppressAutoHyphens w:val="0"/>
        <w:autoSpaceDN/>
        <w:jc w:val="both"/>
        <w:textAlignment w:val="auto"/>
        <w:rPr>
          <w:sz w:val="28"/>
          <w:szCs w:val="28"/>
        </w:rPr>
      </w:pPr>
      <w:r>
        <w:rPr>
          <w:sz w:val="28"/>
          <w:szCs w:val="28"/>
        </w:rPr>
        <w:t>Официальный сайт https://spb.cian.ru/ (данные Агентства недвижимости: «Петербургская Недвижимость»)</w:t>
      </w:r>
    </w:p>
    <w:p w14:paraId="262F30E4">
      <w:pPr>
        <w:suppressAutoHyphens w:val="0"/>
        <w:autoSpaceDN/>
        <w:ind w:left="708"/>
        <w:jc w:val="both"/>
        <w:textAlignment w:val="auto"/>
        <w:rPr>
          <w:sz w:val="28"/>
          <w:szCs w:val="28"/>
        </w:rPr>
      </w:pPr>
      <w:r>
        <w:rPr>
          <w:sz w:val="28"/>
          <w:szCs w:val="28"/>
        </w:rPr>
        <w:t>«Петербургская Недвижимость», тел. 8 (812) 335-55-55</w:t>
      </w:r>
    </w:p>
    <w:p w14:paraId="4B2C3885">
      <w:pPr>
        <w:ind w:left="720"/>
        <w:rPr>
          <w:sz w:val="28"/>
          <w:szCs w:val="28"/>
        </w:rPr>
      </w:pPr>
      <w:r>
        <w:rPr>
          <w:sz w:val="28"/>
          <w:szCs w:val="28"/>
        </w:rPr>
        <w:t>1 комн. кв.</w:t>
      </w:r>
      <w:r>
        <w:rPr>
          <w:sz w:val="28"/>
          <w:szCs w:val="28"/>
        </w:rPr>
        <w:tab/>
      </w:r>
      <w:r>
        <w:rPr>
          <w:sz w:val="28"/>
          <w:szCs w:val="28"/>
        </w:rPr>
        <w:tab/>
      </w:r>
      <w:r>
        <w:rPr>
          <w:sz w:val="28"/>
          <w:szCs w:val="28"/>
        </w:rPr>
        <w:t>35,1 кв.м</w:t>
      </w:r>
      <w:r>
        <w:rPr>
          <w:sz w:val="28"/>
          <w:szCs w:val="28"/>
        </w:rPr>
        <w:tab/>
      </w:r>
      <w:r>
        <w:rPr>
          <w:sz w:val="28"/>
          <w:szCs w:val="28"/>
        </w:rPr>
        <w:tab/>
      </w:r>
      <w:r>
        <w:rPr>
          <w:sz w:val="28"/>
          <w:szCs w:val="28"/>
        </w:rPr>
        <w:t>3 350,00 тыс. руб.;</w:t>
      </w:r>
    </w:p>
    <w:p w14:paraId="0B03BA8F">
      <w:pPr>
        <w:ind w:left="720"/>
        <w:rPr>
          <w:sz w:val="28"/>
          <w:szCs w:val="28"/>
        </w:rPr>
      </w:pPr>
      <w:r>
        <w:rPr>
          <w:sz w:val="28"/>
          <w:szCs w:val="28"/>
        </w:rPr>
        <w:t>1 комн. кв.</w:t>
      </w:r>
      <w:r>
        <w:rPr>
          <w:sz w:val="28"/>
          <w:szCs w:val="28"/>
        </w:rPr>
        <w:tab/>
      </w:r>
      <w:r>
        <w:rPr>
          <w:sz w:val="28"/>
          <w:szCs w:val="28"/>
        </w:rPr>
        <w:tab/>
      </w:r>
      <w:r>
        <w:rPr>
          <w:sz w:val="28"/>
          <w:szCs w:val="28"/>
        </w:rPr>
        <w:t>42,4 кв.м</w:t>
      </w:r>
      <w:r>
        <w:rPr>
          <w:sz w:val="28"/>
          <w:szCs w:val="28"/>
        </w:rPr>
        <w:tab/>
      </w:r>
      <w:r>
        <w:rPr>
          <w:sz w:val="28"/>
          <w:szCs w:val="28"/>
        </w:rPr>
        <w:tab/>
      </w:r>
      <w:r>
        <w:rPr>
          <w:sz w:val="28"/>
          <w:szCs w:val="28"/>
        </w:rPr>
        <w:t>4 149,00 тыс. руб.;</w:t>
      </w:r>
    </w:p>
    <w:p w14:paraId="60EB8F0A">
      <w:pPr>
        <w:ind w:left="720"/>
        <w:rPr>
          <w:sz w:val="28"/>
          <w:szCs w:val="28"/>
        </w:rPr>
      </w:pPr>
      <w:r>
        <w:rPr>
          <w:sz w:val="28"/>
          <w:szCs w:val="28"/>
        </w:rPr>
        <w:t>2 комн. кв.</w:t>
      </w:r>
      <w:r>
        <w:rPr>
          <w:sz w:val="28"/>
          <w:szCs w:val="28"/>
        </w:rPr>
        <w:tab/>
      </w:r>
      <w:r>
        <w:rPr>
          <w:sz w:val="28"/>
          <w:szCs w:val="28"/>
        </w:rPr>
        <w:tab/>
      </w:r>
      <w:r>
        <w:rPr>
          <w:sz w:val="28"/>
          <w:szCs w:val="28"/>
        </w:rPr>
        <w:t>58,3 кв.м</w:t>
      </w:r>
      <w:r>
        <w:rPr>
          <w:sz w:val="28"/>
          <w:szCs w:val="28"/>
        </w:rPr>
        <w:tab/>
      </w:r>
      <w:r>
        <w:rPr>
          <w:sz w:val="28"/>
          <w:szCs w:val="28"/>
        </w:rPr>
        <w:tab/>
      </w:r>
      <w:r>
        <w:rPr>
          <w:sz w:val="28"/>
          <w:szCs w:val="28"/>
        </w:rPr>
        <w:t>4 650,00 тыс. руб.;</w:t>
      </w:r>
    </w:p>
    <w:p w14:paraId="790FB785">
      <w:pPr>
        <w:ind w:left="720"/>
        <w:rPr>
          <w:sz w:val="28"/>
          <w:szCs w:val="28"/>
        </w:rPr>
      </w:pPr>
      <w:r>
        <w:rPr>
          <w:sz w:val="28"/>
          <w:szCs w:val="28"/>
        </w:rPr>
        <w:t>2 комн. кв.</w:t>
      </w:r>
      <w:r>
        <w:rPr>
          <w:sz w:val="28"/>
          <w:szCs w:val="28"/>
        </w:rPr>
        <w:tab/>
      </w:r>
      <w:r>
        <w:rPr>
          <w:sz w:val="28"/>
          <w:szCs w:val="28"/>
        </w:rPr>
        <w:tab/>
      </w:r>
      <w:r>
        <w:rPr>
          <w:sz w:val="28"/>
          <w:szCs w:val="28"/>
        </w:rPr>
        <w:t>50,3 кв.м</w:t>
      </w:r>
      <w:r>
        <w:rPr>
          <w:sz w:val="28"/>
          <w:szCs w:val="28"/>
        </w:rPr>
        <w:tab/>
      </w:r>
      <w:r>
        <w:rPr>
          <w:sz w:val="28"/>
          <w:szCs w:val="28"/>
        </w:rPr>
        <w:tab/>
      </w:r>
      <w:r>
        <w:rPr>
          <w:sz w:val="28"/>
          <w:szCs w:val="28"/>
        </w:rPr>
        <w:t>4 950,00 тыс. руб.;</w:t>
      </w:r>
    </w:p>
    <w:p w14:paraId="0F374B6A">
      <w:pPr>
        <w:ind w:left="720"/>
        <w:rPr>
          <w:sz w:val="28"/>
          <w:szCs w:val="28"/>
        </w:rPr>
      </w:pPr>
      <w:r>
        <w:rPr>
          <w:sz w:val="28"/>
          <w:szCs w:val="28"/>
        </w:rPr>
        <w:t>3 комн. кв.</w:t>
      </w:r>
      <w:r>
        <w:rPr>
          <w:sz w:val="28"/>
          <w:szCs w:val="28"/>
        </w:rPr>
        <w:tab/>
      </w:r>
      <w:r>
        <w:rPr>
          <w:sz w:val="28"/>
          <w:szCs w:val="28"/>
        </w:rPr>
        <w:tab/>
      </w:r>
      <w:r>
        <w:rPr>
          <w:sz w:val="28"/>
          <w:szCs w:val="28"/>
        </w:rPr>
        <w:t>69,0 кв.м</w:t>
      </w:r>
      <w:r>
        <w:rPr>
          <w:sz w:val="28"/>
          <w:szCs w:val="28"/>
        </w:rPr>
        <w:tab/>
      </w:r>
      <w:r>
        <w:rPr>
          <w:sz w:val="28"/>
          <w:szCs w:val="28"/>
        </w:rPr>
        <w:tab/>
      </w:r>
      <w:r>
        <w:rPr>
          <w:sz w:val="28"/>
          <w:szCs w:val="28"/>
        </w:rPr>
        <w:t>5 990,00 тыс. руб.</w:t>
      </w:r>
    </w:p>
    <w:p w14:paraId="5C1921C1">
      <w:pPr>
        <w:ind w:left="720"/>
        <w:rPr>
          <w:sz w:val="28"/>
          <w:szCs w:val="28"/>
        </w:rPr>
      </w:pPr>
      <w:r>
        <w:rPr>
          <w:sz w:val="28"/>
          <w:szCs w:val="28"/>
        </w:rPr>
        <w:t>3 комн. кв.</w:t>
      </w:r>
      <w:r>
        <w:rPr>
          <w:sz w:val="28"/>
          <w:szCs w:val="28"/>
        </w:rPr>
        <w:tab/>
      </w:r>
      <w:r>
        <w:rPr>
          <w:sz w:val="28"/>
          <w:szCs w:val="28"/>
        </w:rPr>
        <w:tab/>
      </w:r>
      <w:r>
        <w:rPr>
          <w:sz w:val="28"/>
          <w:szCs w:val="28"/>
        </w:rPr>
        <w:t>74,6 кв.м</w:t>
      </w:r>
      <w:r>
        <w:rPr>
          <w:sz w:val="28"/>
          <w:szCs w:val="28"/>
        </w:rPr>
        <w:tab/>
      </w:r>
      <w:r>
        <w:rPr>
          <w:sz w:val="28"/>
          <w:szCs w:val="28"/>
        </w:rPr>
        <w:tab/>
      </w:r>
      <w:r>
        <w:rPr>
          <w:sz w:val="28"/>
          <w:szCs w:val="28"/>
        </w:rPr>
        <w:t>7 500,00 тыс. руб.</w:t>
      </w:r>
    </w:p>
    <w:p w14:paraId="2B75D3EB">
      <w:pPr>
        <w:ind w:left="720"/>
        <w:rPr>
          <w:sz w:val="28"/>
          <w:szCs w:val="28"/>
        </w:rPr>
      </w:pPr>
    </w:p>
    <w:p w14:paraId="10859951">
      <w:pPr>
        <w:ind w:left="720"/>
        <w:rPr>
          <w:sz w:val="28"/>
          <w:szCs w:val="28"/>
        </w:rPr>
      </w:pPr>
      <w:r>
        <w:rPr>
          <w:sz w:val="28"/>
          <w:szCs w:val="28"/>
        </w:rPr>
        <w:t>среднее значение</w:t>
      </w:r>
      <w:r>
        <w:rPr>
          <w:sz w:val="28"/>
          <w:szCs w:val="28"/>
        </w:rPr>
        <w:tab/>
      </w:r>
      <w:r>
        <w:rPr>
          <w:sz w:val="28"/>
          <w:szCs w:val="28"/>
        </w:rPr>
        <w:tab/>
      </w:r>
      <w:r>
        <w:rPr>
          <w:sz w:val="28"/>
          <w:szCs w:val="28"/>
        </w:rPr>
        <w:tab/>
      </w:r>
      <w:r>
        <w:rPr>
          <w:sz w:val="28"/>
          <w:szCs w:val="28"/>
        </w:rPr>
        <w:tab/>
      </w:r>
      <w:r>
        <w:rPr>
          <w:sz w:val="28"/>
          <w:szCs w:val="28"/>
        </w:rPr>
        <w:t>93,1354 тыс. руб. за кв.м</w:t>
      </w:r>
    </w:p>
    <w:p w14:paraId="1B7356DC">
      <w:pPr>
        <w:rPr>
          <w:sz w:val="28"/>
          <w:szCs w:val="28"/>
        </w:rPr>
      </w:pPr>
    </w:p>
    <w:p w14:paraId="5932135F">
      <w:pPr>
        <w:ind w:firstLine="708"/>
        <w:jc w:val="both"/>
        <w:rPr>
          <w:sz w:val="28"/>
          <w:szCs w:val="28"/>
        </w:rPr>
      </w:pPr>
      <w:r>
        <w:rPr>
          <w:sz w:val="28"/>
          <w:szCs w:val="28"/>
        </w:rPr>
        <w:t>Среднее значение стоимости 1 кв. м. жилья согласно сведениям риэлтерских организаций в дер. Лаголово составляет 93 135,43 рублей.</w:t>
      </w:r>
    </w:p>
    <w:p w14:paraId="44DD356A">
      <w:pPr>
        <w:pStyle w:val="6"/>
        <w:spacing w:before="220"/>
        <w:ind w:firstLine="540"/>
        <w:jc w:val="both"/>
        <w:rPr>
          <w:rFonts w:ascii="Times New Roman" w:hAnsi="Times New Roman" w:cs="Times New Roman"/>
          <w:sz w:val="28"/>
          <w:szCs w:val="28"/>
        </w:rPr>
      </w:pPr>
      <w:r>
        <w:rPr>
          <w:rFonts w:ascii="Times New Roman" w:hAnsi="Times New Roman" w:cs="Times New Roman"/>
          <w:sz w:val="28"/>
          <w:szCs w:val="28"/>
        </w:rPr>
        <w:t>Ст_строй – стоимость одного квадратного метра общей площади жилья на территории поселения, городского округа Ленинградской области согласно сведениям застройщиков, осуществляющих строительство на территории соответствующего муниципального образования;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b/>
          <w:i/>
          <w:sz w:val="28"/>
          <w:szCs w:val="28"/>
          <w:u w:val="single"/>
        </w:rPr>
        <w:t>131 446,18 руб.</w:t>
      </w:r>
    </w:p>
    <w:p w14:paraId="188DAA6A">
      <w:pPr>
        <w:pStyle w:val="6"/>
        <w:spacing w:before="220"/>
        <w:ind w:firstLine="540"/>
        <w:jc w:val="both"/>
        <w:rPr>
          <w:rFonts w:ascii="Times New Roman" w:hAnsi="Times New Roman" w:cs="Times New Roman"/>
          <w:sz w:val="28"/>
          <w:szCs w:val="28"/>
        </w:rPr>
      </w:pPr>
    </w:p>
    <w:p w14:paraId="0F7A34E7">
      <w:pPr>
        <w:ind w:left="720"/>
        <w:rPr>
          <w:sz w:val="28"/>
          <w:szCs w:val="28"/>
        </w:rPr>
      </w:pPr>
      <w:r>
        <w:rPr>
          <w:sz w:val="28"/>
          <w:szCs w:val="28"/>
        </w:rPr>
        <w:t>Студия</w:t>
      </w:r>
      <w:r>
        <w:rPr>
          <w:sz w:val="28"/>
          <w:szCs w:val="28"/>
        </w:rPr>
        <w:tab/>
      </w:r>
      <w:r>
        <w:rPr>
          <w:sz w:val="28"/>
          <w:szCs w:val="28"/>
        </w:rPr>
        <w:tab/>
      </w:r>
      <w:r>
        <w:rPr>
          <w:sz w:val="28"/>
          <w:szCs w:val="28"/>
        </w:rPr>
        <w:t>22,6 кв.м</w:t>
      </w:r>
      <w:r>
        <w:rPr>
          <w:sz w:val="28"/>
          <w:szCs w:val="28"/>
        </w:rPr>
        <w:tab/>
      </w:r>
      <w:r>
        <w:rPr>
          <w:sz w:val="28"/>
          <w:szCs w:val="28"/>
        </w:rPr>
        <w:tab/>
      </w:r>
      <w:r>
        <w:rPr>
          <w:sz w:val="28"/>
          <w:szCs w:val="28"/>
        </w:rPr>
        <w:t>4 921,828 тыс. руб.;</w:t>
      </w:r>
    </w:p>
    <w:p w14:paraId="62E3543B">
      <w:pPr>
        <w:ind w:left="720"/>
        <w:rPr>
          <w:sz w:val="28"/>
          <w:szCs w:val="28"/>
        </w:rPr>
      </w:pPr>
      <w:r>
        <w:rPr>
          <w:sz w:val="28"/>
          <w:szCs w:val="28"/>
        </w:rPr>
        <w:t>1 комн. кв.</w:t>
      </w:r>
      <w:r>
        <w:rPr>
          <w:sz w:val="28"/>
          <w:szCs w:val="28"/>
        </w:rPr>
        <w:tab/>
      </w:r>
      <w:r>
        <w:rPr>
          <w:sz w:val="28"/>
          <w:szCs w:val="28"/>
        </w:rPr>
        <w:tab/>
      </w:r>
      <w:r>
        <w:rPr>
          <w:sz w:val="28"/>
          <w:szCs w:val="28"/>
        </w:rPr>
        <w:t>37,8 кв.м</w:t>
      </w:r>
      <w:r>
        <w:rPr>
          <w:sz w:val="28"/>
          <w:szCs w:val="28"/>
        </w:rPr>
        <w:tab/>
      </w:r>
      <w:r>
        <w:rPr>
          <w:sz w:val="28"/>
          <w:szCs w:val="28"/>
        </w:rPr>
        <w:tab/>
      </w:r>
      <w:r>
        <w:rPr>
          <w:sz w:val="28"/>
          <w:szCs w:val="28"/>
        </w:rPr>
        <w:t>4 900,00 тыс. руб.;</w:t>
      </w:r>
    </w:p>
    <w:p w14:paraId="4DABD104">
      <w:pPr>
        <w:ind w:left="720"/>
        <w:rPr>
          <w:sz w:val="28"/>
          <w:szCs w:val="28"/>
        </w:rPr>
      </w:pPr>
      <w:r>
        <w:rPr>
          <w:sz w:val="28"/>
          <w:szCs w:val="28"/>
        </w:rPr>
        <w:t>1 комн. кв.</w:t>
      </w:r>
      <w:r>
        <w:rPr>
          <w:sz w:val="28"/>
          <w:szCs w:val="28"/>
        </w:rPr>
        <w:tab/>
      </w:r>
      <w:r>
        <w:rPr>
          <w:sz w:val="28"/>
          <w:szCs w:val="28"/>
        </w:rPr>
        <w:tab/>
      </w:r>
      <w:r>
        <w:rPr>
          <w:sz w:val="28"/>
          <w:szCs w:val="28"/>
        </w:rPr>
        <w:t>34,6 кв.м</w:t>
      </w:r>
      <w:r>
        <w:rPr>
          <w:sz w:val="28"/>
          <w:szCs w:val="28"/>
        </w:rPr>
        <w:tab/>
      </w:r>
      <w:r>
        <w:rPr>
          <w:sz w:val="28"/>
          <w:szCs w:val="28"/>
        </w:rPr>
        <w:tab/>
      </w:r>
      <w:r>
        <w:rPr>
          <w:sz w:val="28"/>
          <w:szCs w:val="28"/>
        </w:rPr>
        <w:t>3 709,00 тыс. руб.;</w:t>
      </w:r>
    </w:p>
    <w:p w14:paraId="4E9E8135">
      <w:pPr>
        <w:ind w:left="720"/>
        <w:rPr>
          <w:sz w:val="28"/>
          <w:szCs w:val="28"/>
        </w:rPr>
      </w:pPr>
      <w:r>
        <w:rPr>
          <w:sz w:val="28"/>
          <w:szCs w:val="28"/>
        </w:rPr>
        <w:t>2 комн. кв.</w:t>
      </w:r>
      <w:r>
        <w:rPr>
          <w:sz w:val="28"/>
          <w:szCs w:val="28"/>
        </w:rPr>
        <w:tab/>
      </w:r>
      <w:r>
        <w:rPr>
          <w:sz w:val="28"/>
          <w:szCs w:val="28"/>
        </w:rPr>
        <w:tab/>
      </w:r>
      <w:r>
        <w:rPr>
          <w:sz w:val="28"/>
          <w:szCs w:val="28"/>
        </w:rPr>
        <w:t>52,3 кв.м</w:t>
      </w:r>
      <w:r>
        <w:rPr>
          <w:sz w:val="28"/>
          <w:szCs w:val="28"/>
        </w:rPr>
        <w:tab/>
      </w:r>
      <w:r>
        <w:rPr>
          <w:sz w:val="28"/>
          <w:szCs w:val="28"/>
        </w:rPr>
        <w:tab/>
      </w:r>
      <w:r>
        <w:rPr>
          <w:sz w:val="28"/>
          <w:szCs w:val="28"/>
        </w:rPr>
        <w:t>8 706,381 тыс. руб.;</w:t>
      </w:r>
    </w:p>
    <w:p w14:paraId="30F327C9">
      <w:pPr>
        <w:ind w:left="720"/>
        <w:rPr>
          <w:sz w:val="28"/>
          <w:szCs w:val="28"/>
        </w:rPr>
      </w:pPr>
      <w:r>
        <w:rPr>
          <w:sz w:val="28"/>
          <w:szCs w:val="28"/>
        </w:rPr>
        <w:t>2 комн. кв.</w:t>
      </w:r>
      <w:r>
        <w:rPr>
          <w:sz w:val="28"/>
          <w:szCs w:val="28"/>
        </w:rPr>
        <w:tab/>
      </w:r>
      <w:r>
        <w:rPr>
          <w:sz w:val="28"/>
          <w:szCs w:val="28"/>
        </w:rPr>
        <w:tab/>
      </w:r>
      <w:r>
        <w:rPr>
          <w:sz w:val="28"/>
          <w:szCs w:val="28"/>
        </w:rPr>
        <w:t>48,6 кв.м</w:t>
      </w:r>
      <w:r>
        <w:rPr>
          <w:sz w:val="28"/>
          <w:szCs w:val="28"/>
        </w:rPr>
        <w:tab/>
      </w:r>
      <w:r>
        <w:rPr>
          <w:sz w:val="28"/>
          <w:szCs w:val="28"/>
        </w:rPr>
        <w:tab/>
      </w:r>
      <w:r>
        <w:rPr>
          <w:sz w:val="28"/>
          <w:szCs w:val="28"/>
        </w:rPr>
        <w:t>6 900,00 тыс. руб.;</w:t>
      </w:r>
    </w:p>
    <w:p w14:paraId="1097D5CE">
      <w:pPr>
        <w:ind w:left="720"/>
        <w:rPr>
          <w:sz w:val="28"/>
          <w:szCs w:val="28"/>
        </w:rPr>
      </w:pPr>
      <w:r>
        <w:rPr>
          <w:sz w:val="28"/>
          <w:szCs w:val="28"/>
        </w:rPr>
        <w:t>3 комн. кв.</w:t>
      </w:r>
      <w:r>
        <w:rPr>
          <w:sz w:val="28"/>
          <w:szCs w:val="28"/>
        </w:rPr>
        <w:tab/>
      </w:r>
      <w:r>
        <w:rPr>
          <w:sz w:val="28"/>
          <w:szCs w:val="28"/>
        </w:rPr>
        <w:tab/>
      </w:r>
      <w:r>
        <w:rPr>
          <w:sz w:val="28"/>
          <w:szCs w:val="28"/>
        </w:rPr>
        <w:t>67,3 кв.м</w:t>
      </w:r>
      <w:r>
        <w:rPr>
          <w:sz w:val="28"/>
          <w:szCs w:val="28"/>
        </w:rPr>
        <w:tab/>
      </w:r>
      <w:r>
        <w:rPr>
          <w:sz w:val="28"/>
          <w:szCs w:val="28"/>
        </w:rPr>
        <w:tab/>
      </w:r>
      <w:r>
        <w:rPr>
          <w:sz w:val="28"/>
          <w:szCs w:val="28"/>
        </w:rPr>
        <w:t>9 508,144 тыс. руб.</w:t>
      </w:r>
    </w:p>
    <w:p w14:paraId="544F2029">
      <w:pPr>
        <w:ind w:left="720"/>
        <w:rPr>
          <w:sz w:val="28"/>
          <w:szCs w:val="28"/>
        </w:rPr>
      </w:pPr>
      <w:r>
        <w:rPr>
          <w:sz w:val="28"/>
          <w:szCs w:val="28"/>
        </w:rPr>
        <w:t>3 комн. кв.</w:t>
      </w:r>
      <w:r>
        <w:rPr>
          <w:sz w:val="28"/>
          <w:szCs w:val="28"/>
        </w:rPr>
        <w:tab/>
      </w:r>
      <w:r>
        <w:rPr>
          <w:sz w:val="28"/>
          <w:szCs w:val="28"/>
        </w:rPr>
        <w:tab/>
      </w:r>
      <w:r>
        <w:rPr>
          <w:sz w:val="28"/>
          <w:szCs w:val="28"/>
        </w:rPr>
        <w:t>73,3 кв.м</w:t>
      </w:r>
      <w:r>
        <w:rPr>
          <w:sz w:val="28"/>
          <w:szCs w:val="28"/>
        </w:rPr>
        <w:tab/>
      </w:r>
      <w:r>
        <w:rPr>
          <w:sz w:val="28"/>
          <w:szCs w:val="28"/>
        </w:rPr>
        <w:tab/>
      </w:r>
      <w:r>
        <w:rPr>
          <w:sz w:val="28"/>
          <w:szCs w:val="28"/>
        </w:rPr>
        <w:t>11 862,139 тыс. руб.</w:t>
      </w:r>
    </w:p>
    <w:p w14:paraId="438E8BB0">
      <w:pPr>
        <w:ind w:left="720"/>
        <w:rPr>
          <w:sz w:val="28"/>
          <w:szCs w:val="28"/>
        </w:rPr>
      </w:pPr>
    </w:p>
    <w:p w14:paraId="524CFB65">
      <w:pPr>
        <w:ind w:left="720"/>
        <w:rPr>
          <w:sz w:val="28"/>
          <w:szCs w:val="28"/>
        </w:rPr>
      </w:pPr>
      <w:r>
        <w:rPr>
          <w:sz w:val="28"/>
          <w:szCs w:val="28"/>
        </w:rPr>
        <w:t>среднее значение</w:t>
      </w:r>
      <w:r>
        <w:rPr>
          <w:sz w:val="28"/>
          <w:szCs w:val="28"/>
        </w:rPr>
        <w:tab/>
      </w:r>
      <w:r>
        <w:rPr>
          <w:sz w:val="28"/>
          <w:szCs w:val="28"/>
        </w:rPr>
        <w:tab/>
      </w:r>
      <w:r>
        <w:rPr>
          <w:sz w:val="28"/>
          <w:szCs w:val="28"/>
        </w:rPr>
        <w:tab/>
      </w:r>
      <w:r>
        <w:rPr>
          <w:sz w:val="28"/>
          <w:szCs w:val="28"/>
        </w:rPr>
        <w:tab/>
      </w:r>
      <w:r>
        <w:rPr>
          <w:sz w:val="28"/>
          <w:szCs w:val="28"/>
        </w:rPr>
        <w:t>141,397 тыс. руб. за кв.м</w:t>
      </w:r>
    </w:p>
    <w:p w14:paraId="201DD31A">
      <w:pPr>
        <w:pStyle w:val="6"/>
        <w:spacing w:before="220"/>
        <w:ind w:firstLine="540"/>
        <w:jc w:val="both"/>
        <w:rPr>
          <w:rFonts w:ascii="Times New Roman" w:hAnsi="Times New Roman" w:cs="Times New Roman"/>
          <w:b/>
          <w:i/>
          <w:sz w:val="28"/>
          <w:szCs w:val="28"/>
          <w:u w:val="single"/>
        </w:rPr>
      </w:pPr>
      <w:r>
        <w:rPr>
          <w:rFonts w:ascii="Times New Roman" w:hAnsi="Times New Roman" w:cs="Times New Roman"/>
          <w:sz w:val="28"/>
          <w:szCs w:val="28"/>
        </w:rPr>
        <w:t>Ст_стат – стоимость одного квадратного метра площади жилья на территории Ленинградской области согласно сведениям от подразделений территориального органа Федеральной службы государственной статистики по Санкт-Петербургу и Ленинградской области.</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b/>
          <w:i/>
          <w:sz w:val="28"/>
          <w:szCs w:val="28"/>
          <w:u w:val="single"/>
        </w:rPr>
        <w:t>154 498,61 руб.</w:t>
      </w:r>
    </w:p>
    <w:p w14:paraId="21AE058C">
      <w:pPr>
        <w:pStyle w:val="6"/>
        <w:spacing w:before="220"/>
        <w:ind w:firstLine="540"/>
        <w:jc w:val="both"/>
        <w:rPr>
          <w:rFonts w:ascii="Times New Roman" w:hAnsi="Times New Roman" w:cs="Times New Roman"/>
          <w:sz w:val="28"/>
          <w:szCs w:val="28"/>
        </w:rPr>
      </w:pPr>
      <w:r>
        <w:rPr>
          <w:rFonts w:ascii="Times New Roman" w:hAnsi="Times New Roman" w:cs="Times New Roman"/>
          <w:sz w:val="28"/>
          <w:szCs w:val="28"/>
        </w:rPr>
        <w:t>2.2.</w:t>
      </w:r>
      <w:r>
        <w:rPr>
          <w:rFonts w:ascii="Times New Roman" w:hAnsi="Times New Roman" w:cs="Times New Roman"/>
          <w:sz w:val="28"/>
          <w:szCs w:val="28"/>
        </w:rPr>
        <w:tab/>
      </w:r>
      <w:r>
        <w:rPr>
          <w:rFonts w:ascii="Times New Roman" w:hAnsi="Times New Roman" w:cs="Times New Roman"/>
          <w:sz w:val="28"/>
          <w:szCs w:val="28"/>
        </w:rPr>
        <w:t>Расчет стоимости одного квадратного метра общей площади жилья на территории Лаголовского сельского поселения Ломоносовского муниципального района Ленинградской области (Ст квм) производится по формуле:</w:t>
      </w:r>
    </w:p>
    <w:p w14:paraId="250894F8">
      <w:pPr>
        <w:pStyle w:val="6"/>
        <w:ind w:firstLine="540"/>
        <w:jc w:val="both"/>
        <w:rPr>
          <w:rFonts w:ascii="Times New Roman" w:hAnsi="Times New Roman" w:cs="Times New Roman"/>
          <w:sz w:val="28"/>
          <w:szCs w:val="28"/>
        </w:rPr>
      </w:pPr>
    </w:p>
    <w:p w14:paraId="36F61ACB">
      <w:pPr>
        <w:pStyle w:val="6"/>
        <w:ind w:firstLine="540"/>
        <w:jc w:val="both"/>
        <w:rPr>
          <w:rFonts w:ascii="Times New Roman" w:hAnsi="Times New Roman" w:cs="Times New Roman"/>
          <w:sz w:val="28"/>
          <w:szCs w:val="28"/>
        </w:rPr>
      </w:pPr>
      <w:r>
        <w:rPr>
          <w:rFonts w:ascii="Times New Roman" w:hAnsi="Times New Roman" w:cs="Times New Roman"/>
          <w:position w:val="-22"/>
          <w:sz w:val="28"/>
          <w:szCs w:val="28"/>
        </w:rPr>
        <w:drawing>
          <wp:inline distT="0" distB="0" distL="0" distR="0">
            <wp:extent cx="4526280" cy="42989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2" name="Консультант Плюс"/>
                    <pic:cNvPicPr preferRelativeResize="0"/>
                  </pic:nvPicPr>
                  <pic:blipFill>
                    <a:blip r:embed="rId7" cstate="print">
                      <a:extLst>
                        <a:ext uri="{28A0092B-C50C-407E-A947-70E740481C1C}">
                          <a14:useLocalDpi xmlns:a14="http://schemas.microsoft.com/office/drawing/2010/main" val="0"/>
                        </a:ext>
                      </a:extLst>
                    </a:blip>
                    <a:srcRect/>
                    <a:stretch>
                      <a:fillRect/>
                    </a:stretch>
                  </pic:blipFill>
                  <pic:spPr>
                    <a:xfrm>
                      <a:off x="0" y="0"/>
                      <a:ext cx="4526280" cy="429895"/>
                    </a:xfrm>
                    <a:prstGeom prst="rect">
                      <a:avLst/>
                    </a:prstGeom>
                    <a:noFill/>
                    <a:ln>
                      <a:noFill/>
                    </a:ln>
                  </pic:spPr>
                </pic:pic>
              </a:graphicData>
            </a:graphic>
          </wp:inline>
        </w:drawing>
      </w:r>
    </w:p>
    <w:p w14:paraId="56B6B543">
      <w:pPr>
        <w:pStyle w:val="6"/>
        <w:jc w:val="center"/>
        <w:rPr>
          <w:rFonts w:ascii="Times New Roman" w:hAnsi="Times New Roman" w:cs="Times New Roman"/>
          <w:sz w:val="28"/>
          <w:szCs w:val="28"/>
        </w:rPr>
      </w:pPr>
    </w:p>
    <w:p w14:paraId="0644CCF3">
      <w:pPr>
        <w:pStyle w:val="6"/>
        <w:ind w:firstLine="540"/>
        <w:jc w:val="both"/>
        <w:rPr>
          <w:rFonts w:ascii="Times New Roman" w:hAnsi="Times New Roman" w:cs="Times New Roman"/>
          <w:sz w:val="28"/>
          <w:szCs w:val="28"/>
        </w:rPr>
      </w:pPr>
      <w:r>
        <w:rPr>
          <w:rFonts w:ascii="Times New Roman" w:hAnsi="Times New Roman" w:cs="Times New Roman"/>
          <w:sz w:val="28"/>
          <w:szCs w:val="28"/>
        </w:rPr>
        <w:t>СТ квм = Ср_квм x К_дефл,</w:t>
      </w:r>
    </w:p>
    <w:p w14:paraId="69C0B8FD">
      <w:pPr>
        <w:pStyle w:val="6"/>
        <w:ind w:firstLine="540"/>
        <w:jc w:val="both"/>
        <w:rPr>
          <w:rFonts w:ascii="Times New Roman" w:hAnsi="Times New Roman" w:cs="Times New Roman"/>
          <w:sz w:val="28"/>
          <w:szCs w:val="28"/>
        </w:rPr>
      </w:pPr>
    </w:p>
    <w:p w14:paraId="1F46C321">
      <w:pPr>
        <w:pStyle w:val="6"/>
        <w:ind w:firstLine="540"/>
        <w:jc w:val="both"/>
        <w:rPr>
          <w:rFonts w:ascii="Times New Roman" w:hAnsi="Times New Roman" w:cs="Times New Roman"/>
          <w:sz w:val="28"/>
          <w:szCs w:val="28"/>
        </w:rPr>
      </w:pPr>
      <w:r>
        <w:rPr>
          <w:rFonts w:ascii="Times New Roman" w:hAnsi="Times New Roman" w:cs="Times New Roman"/>
          <w:sz w:val="28"/>
          <w:szCs w:val="28"/>
        </w:rPr>
        <w:t>где:</w:t>
      </w:r>
    </w:p>
    <w:p w14:paraId="171CBEFE">
      <w:pPr>
        <w:pStyle w:val="6"/>
        <w:spacing w:before="220"/>
        <w:ind w:firstLine="540"/>
        <w:jc w:val="both"/>
        <w:rPr>
          <w:rFonts w:ascii="Times New Roman" w:hAnsi="Times New Roman" w:cs="Times New Roman"/>
          <w:sz w:val="28"/>
          <w:szCs w:val="28"/>
        </w:rPr>
      </w:pPr>
      <w:r>
        <w:rPr>
          <w:rFonts w:ascii="Times New Roman" w:hAnsi="Times New Roman" w:cs="Times New Roman"/>
          <w:sz w:val="28"/>
          <w:szCs w:val="28"/>
        </w:rPr>
        <w:t>0,92 - коэффициент, учитывающий долю затрат покупателя по оплате услуг риелторов, нотариусов, кредитных организаций (банков) и других затрат;</w:t>
      </w:r>
    </w:p>
    <w:p w14:paraId="18C50A15">
      <w:pPr>
        <w:pStyle w:val="6"/>
        <w:spacing w:before="220"/>
        <w:ind w:firstLine="540"/>
        <w:jc w:val="both"/>
        <w:rPr>
          <w:rFonts w:ascii="Times New Roman" w:hAnsi="Times New Roman" w:cs="Times New Roman"/>
          <w:sz w:val="28"/>
          <w:szCs w:val="28"/>
        </w:rPr>
      </w:pPr>
      <w:r>
        <w:rPr>
          <w:rFonts w:ascii="Times New Roman" w:hAnsi="Times New Roman" w:cs="Times New Roman"/>
          <w:sz w:val="28"/>
          <w:szCs w:val="28"/>
        </w:rPr>
        <w:t>N - количество показателей, используемых при расчете;</w:t>
      </w:r>
    </w:p>
    <w:p w14:paraId="231C4F43">
      <w:pPr>
        <w:pStyle w:val="6"/>
        <w:spacing w:before="220"/>
        <w:ind w:firstLine="540"/>
        <w:jc w:val="both"/>
        <w:rPr>
          <w:rFonts w:ascii="Times New Roman" w:hAnsi="Times New Roman" w:cs="Times New Roman"/>
          <w:b/>
          <w:i/>
          <w:sz w:val="28"/>
          <w:szCs w:val="28"/>
          <w:u w:val="single"/>
        </w:rPr>
      </w:pPr>
      <w:r>
        <w:rPr>
          <w:rFonts w:ascii="Times New Roman" w:hAnsi="Times New Roman" w:cs="Times New Roman"/>
          <w:sz w:val="28"/>
          <w:szCs w:val="28"/>
        </w:rPr>
        <w:t>К_дефл - индекс-дефлятор, определяемый уполномоченным федеральным органом исполнительной власти на основании дефляторов по видам экономической деятельности, индекса потребительских цен, на расчетный квартал.</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b/>
          <w:i/>
          <w:sz w:val="28"/>
          <w:szCs w:val="28"/>
          <w:u w:val="single"/>
        </w:rPr>
        <w:t>101,6</w:t>
      </w:r>
    </w:p>
    <w:p w14:paraId="75DE8550">
      <w:pPr>
        <w:pStyle w:val="6"/>
        <w:spacing w:before="220"/>
        <w:ind w:firstLine="540"/>
        <w:jc w:val="both"/>
        <w:rPr>
          <w:rFonts w:ascii="Times New Roman" w:hAnsi="Times New Roman" w:cs="Times New Roman"/>
          <w:b/>
          <w:i/>
          <w:sz w:val="28"/>
          <w:szCs w:val="28"/>
          <w:u w:val="single"/>
        </w:rPr>
      </w:pPr>
    </w:p>
    <w:tbl>
      <w:tblPr>
        <w:tblStyle w:val="3"/>
        <w:tblW w:w="9497" w:type="dxa"/>
        <w:jc w:val="center"/>
        <w:tblLayout w:type="fixed"/>
        <w:tblCellMar>
          <w:top w:w="0" w:type="dxa"/>
          <w:left w:w="70" w:type="dxa"/>
          <w:bottom w:w="0" w:type="dxa"/>
          <w:right w:w="70" w:type="dxa"/>
        </w:tblCellMar>
      </w:tblPr>
      <w:tblGrid>
        <w:gridCol w:w="1418"/>
        <w:gridCol w:w="1976"/>
        <w:gridCol w:w="1701"/>
        <w:gridCol w:w="851"/>
        <w:gridCol w:w="1276"/>
        <w:gridCol w:w="1134"/>
        <w:gridCol w:w="1141"/>
      </w:tblGrid>
      <w:tr w14:paraId="3B06083C">
        <w:tblPrEx>
          <w:tblCellMar>
            <w:top w:w="0" w:type="dxa"/>
            <w:left w:w="70" w:type="dxa"/>
            <w:bottom w:w="0" w:type="dxa"/>
            <w:right w:w="70" w:type="dxa"/>
          </w:tblCellMar>
        </w:tblPrEx>
        <w:trPr>
          <w:cantSplit/>
          <w:trHeight w:val="1283" w:hRule="atLeast"/>
          <w:jc w:val="center"/>
        </w:trPr>
        <w:tc>
          <w:tcPr>
            <w:tcW w:w="1418" w:type="dxa"/>
            <w:tcBorders>
              <w:top w:val="single" w:color="auto" w:sz="6" w:space="0"/>
              <w:left w:val="single" w:color="auto" w:sz="6" w:space="0"/>
              <w:bottom w:val="single" w:color="auto" w:sz="6" w:space="0"/>
              <w:right w:val="single" w:color="auto" w:sz="6" w:space="0"/>
            </w:tcBorders>
            <w:vAlign w:val="center"/>
          </w:tcPr>
          <w:p w14:paraId="4B0DB483">
            <w:pPr>
              <w:pStyle w:val="6"/>
              <w:widowControl/>
              <w:ind w:firstLine="0"/>
              <w:jc w:val="center"/>
              <w:rPr>
                <w:rFonts w:ascii="Times New Roman" w:hAnsi="Times New Roman" w:cs="Times New Roman"/>
              </w:rPr>
            </w:pPr>
            <w:r>
              <w:rPr>
                <w:rFonts w:ascii="Times New Roman" w:hAnsi="Times New Roman" w:cs="Times New Roman"/>
              </w:rPr>
              <w:t>Наименование муниципального образования (поселения)</w:t>
            </w:r>
          </w:p>
        </w:tc>
        <w:tc>
          <w:tcPr>
            <w:tcW w:w="1976" w:type="dxa"/>
            <w:tcBorders>
              <w:top w:val="single" w:color="auto" w:sz="6" w:space="0"/>
              <w:left w:val="single" w:color="auto" w:sz="6" w:space="0"/>
              <w:bottom w:val="single" w:color="auto" w:sz="6" w:space="0"/>
              <w:right w:val="single" w:color="auto" w:sz="6" w:space="0"/>
            </w:tcBorders>
            <w:vAlign w:val="center"/>
          </w:tcPr>
          <w:p w14:paraId="1A1C73E7">
            <w:pPr>
              <w:pStyle w:val="6"/>
              <w:widowControl/>
              <w:ind w:firstLine="0"/>
              <w:jc w:val="center"/>
              <w:rPr>
                <w:rFonts w:ascii="Times New Roman" w:hAnsi="Times New Roman" w:cs="Times New Roman"/>
              </w:rPr>
            </w:pPr>
            <w:r>
              <w:rPr>
                <w:rFonts w:ascii="Times New Roman" w:hAnsi="Times New Roman" w:cs="Times New Roman"/>
              </w:rPr>
              <w:t>Реквизиты правового акта органа местного самоуправления об утверждении средней рыночной стоимости одного квадратного метра общей площади жилого помещения</w:t>
            </w:r>
          </w:p>
        </w:tc>
        <w:tc>
          <w:tcPr>
            <w:tcW w:w="1701" w:type="dxa"/>
            <w:tcBorders>
              <w:top w:val="single" w:color="auto" w:sz="6" w:space="0"/>
              <w:left w:val="single" w:color="auto" w:sz="6" w:space="0"/>
              <w:bottom w:val="single" w:color="auto" w:sz="6" w:space="0"/>
              <w:right w:val="single" w:color="auto" w:sz="6" w:space="0"/>
            </w:tcBorders>
            <w:vAlign w:val="center"/>
          </w:tcPr>
          <w:p w14:paraId="00B61A76">
            <w:pPr>
              <w:pStyle w:val="6"/>
              <w:widowControl/>
              <w:ind w:firstLine="0"/>
              <w:jc w:val="center"/>
              <w:rPr>
                <w:rFonts w:ascii="Times New Roman" w:hAnsi="Times New Roman" w:cs="Times New Roman"/>
              </w:rPr>
            </w:pPr>
            <w:r>
              <w:rPr>
                <w:rFonts w:ascii="Times New Roman" w:hAnsi="Times New Roman" w:cs="Times New Roman"/>
              </w:rPr>
              <w:t>Показатель средней рыночной стоимости одного квадратного метра общей площади жилого помещения (Ср_ст_квм)</w:t>
            </w:r>
          </w:p>
        </w:tc>
        <w:tc>
          <w:tcPr>
            <w:tcW w:w="851" w:type="dxa"/>
            <w:tcBorders>
              <w:top w:val="single" w:color="auto" w:sz="6" w:space="0"/>
              <w:left w:val="single" w:color="auto" w:sz="6" w:space="0"/>
              <w:bottom w:val="single" w:color="auto" w:sz="6" w:space="0"/>
              <w:right w:val="single" w:color="auto" w:sz="6" w:space="0"/>
            </w:tcBorders>
            <w:vAlign w:val="center"/>
          </w:tcPr>
          <w:p w14:paraId="7A8A5D36">
            <w:pPr>
              <w:pStyle w:val="6"/>
              <w:widowControl/>
              <w:ind w:firstLine="0"/>
              <w:jc w:val="center"/>
              <w:rPr>
                <w:rFonts w:ascii="Times New Roman" w:hAnsi="Times New Roman" w:cs="Times New Roman"/>
              </w:rPr>
            </w:pPr>
            <w:r>
              <w:rPr>
                <w:rFonts w:ascii="Times New Roman" w:hAnsi="Times New Roman" w:cs="Times New Roman"/>
              </w:rPr>
              <w:t>Ст_дог</w:t>
            </w:r>
          </w:p>
        </w:tc>
        <w:tc>
          <w:tcPr>
            <w:tcW w:w="1276" w:type="dxa"/>
            <w:tcBorders>
              <w:top w:val="single" w:color="auto" w:sz="6" w:space="0"/>
              <w:left w:val="single" w:color="auto" w:sz="6" w:space="0"/>
              <w:bottom w:val="single" w:color="auto" w:sz="6" w:space="0"/>
              <w:right w:val="single" w:color="auto" w:sz="6" w:space="0"/>
            </w:tcBorders>
            <w:vAlign w:val="center"/>
          </w:tcPr>
          <w:p w14:paraId="15025794">
            <w:pPr>
              <w:pStyle w:val="6"/>
              <w:widowControl/>
              <w:ind w:firstLine="0"/>
              <w:jc w:val="center"/>
              <w:rPr>
                <w:rFonts w:ascii="Times New Roman" w:hAnsi="Times New Roman" w:cs="Times New Roman"/>
              </w:rPr>
            </w:pPr>
            <w:r>
              <w:rPr>
                <w:rFonts w:ascii="Times New Roman" w:hAnsi="Times New Roman" w:cs="Times New Roman"/>
              </w:rPr>
              <w:t>Ст_кред</w:t>
            </w:r>
          </w:p>
        </w:tc>
        <w:tc>
          <w:tcPr>
            <w:tcW w:w="1134" w:type="dxa"/>
            <w:tcBorders>
              <w:top w:val="single" w:color="auto" w:sz="6" w:space="0"/>
              <w:left w:val="single" w:color="auto" w:sz="6" w:space="0"/>
              <w:bottom w:val="single" w:color="auto" w:sz="6" w:space="0"/>
              <w:right w:val="single" w:color="auto" w:sz="6" w:space="0"/>
            </w:tcBorders>
            <w:vAlign w:val="center"/>
          </w:tcPr>
          <w:p w14:paraId="43A4D58E">
            <w:pPr>
              <w:pStyle w:val="6"/>
              <w:widowControl/>
              <w:ind w:firstLine="0"/>
              <w:jc w:val="center"/>
              <w:rPr>
                <w:rFonts w:ascii="Times New Roman" w:hAnsi="Times New Roman" w:cs="Times New Roman"/>
                <w:bCs/>
              </w:rPr>
            </w:pPr>
            <w:r>
              <w:rPr>
                <w:rFonts w:ascii="Times New Roman" w:hAnsi="Times New Roman" w:cs="Times New Roman"/>
                <w:bCs/>
              </w:rPr>
              <w:t>Ст_стат</w:t>
            </w:r>
          </w:p>
        </w:tc>
        <w:tc>
          <w:tcPr>
            <w:tcW w:w="1141" w:type="dxa"/>
            <w:tcBorders>
              <w:top w:val="single" w:color="auto" w:sz="6" w:space="0"/>
              <w:left w:val="single" w:color="auto" w:sz="6" w:space="0"/>
              <w:bottom w:val="single" w:color="auto" w:sz="6" w:space="0"/>
              <w:right w:val="single" w:color="auto" w:sz="6" w:space="0"/>
            </w:tcBorders>
            <w:vAlign w:val="center"/>
          </w:tcPr>
          <w:p w14:paraId="22C2505A">
            <w:pPr>
              <w:pStyle w:val="6"/>
              <w:widowControl/>
              <w:ind w:firstLine="0"/>
              <w:jc w:val="center"/>
              <w:rPr>
                <w:rFonts w:ascii="Times New Roman" w:hAnsi="Times New Roman" w:cs="Times New Roman"/>
              </w:rPr>
            </w:pPr>
            <w:r>
              <w:rPr>
                <w:rFonts w:ascii="Times New Roman" w:hAnsi="Times New Roman" w:cs="Times New Roman"/>
              </w:rPr>
              <w:t>Ст_строй</w:t>
            </w:r>
          </w:p>
        </w:tc>
      </w:tr>
      <w:tr w14:paraId="523D62B8">
        <w:tblPrEx>
          <w:tblCellMar>
            <w:top w:w="0" w:type="dxa"/>
            <w:left w:w="70" w:type="dxa"/>
            <w:bottom w:w="0" w:type="dxa"/>
            <w:right w:w="70" w:type="dxa"/>
          </w:tblCellMar>
        </w:tblPrEx>
        <w:trPr>
          <w:cantSplit/>
          <w:trHeight w:val="479" w:hRule="atLeast"/>
          <w:jc w:val="center"/>
        </w:trPr>
        <w:tc>
          <w:tcPr>
            <w:tcW w:w="1418" w:type="dxa"/>
            <w:tcBorders>
              <w:top w:val="single" w:color="auto" w:sz="6" w:space="0"/>
              <w:left w:val="single" w:color="auto" w:sz="6" w:space="0"/>
              <w:bottom w:val="single" w:color="auto" w:sz="6" w:space="0"/>
              <w:right w:val="single" w:color="auto" w:sz="6" w:space="0"/>
            </w:tcBorders>
            <w:vAlign w:val="center"/>
          </w:tcPr>
          <w:p w14:paraId="0F7B2AFC">
            <w:pPr>
              <w:pStyle w:val="6"/>
              <w:widowControl/>
              <w:ind w:firstLine="0"/>
              <w:jc w:val="center"/>
              <w:rPr>
                <w:rFonts w:ascii="Times New Roman" w:hAnsi="Times New Roman" w:cs="Times New Roman"/>
              </w:rPr>
            </w:pPr>
            <w:r>
              <w:rPr>
                <w:rFonts w:ascii="Times New Roman" w:hAnsi="Times New Roman" w:cs="Times New Roman"/>
              </w:rPr>
              <w:t>Лаголовское сельское поселение</w:t>
            </w:r>
          </w:p>
        </w:tc>
        <w:tc>
          <w:tcPr>
            <w:tcW w:w="1976" w:type="dxa"/>
            <w:tcBorders>
              <w:top w:val="single" w:color="auto" w:sz="6" w:space="0"/>
              <w:left w:val="single" w:color="auto" w:sz="6" w:space="0"/>
              <w:bottom w:val="single" w:color="auto" w:sz="6" w:space="0"/>
              <w:right w:val="single" w:color="auto" w:sz="6" w:space="0"/>
            </w:tcBorders>
            <w:vAlign w:val="center"/>
          </w:tcPr>
          <w:p w14:paraId="67992629">
            <w:pPr>
              <w:pStyle w:val="6"/>
              <w:widowControl/>
              <w:ind w:firstLine="0"/>
              <w:jc w:val="center"/>
              <w:rPr>
                <w:rFonts w:ascii="Times New Roman" w:hAnsi="Times New Roman" w:cs="Times New Roman"/>
              </w:rPr>
            </w:pPr>
            <w:r>
              <w:rPr>
                <w:rFonts w:ascii="Times New Roman" w:hAnsi="Times New Roman" w:cs="Times New Roman"/>
              </w:rPr>
              <w:t>Решение Совета депутатов</w:t>
            </w:r>
          </w:p>
        </w:tc>
        <w:tc>
          <w:tcPr>
            <w:tcW w:w="1701" w:type="dxa"/>
            <w:tcBorders>
              <w:top w:val="single" w:color="auto" w:sz="6" w:space="0"/>
              <w:left w:val="single" w:color="auto" w:sz="6" w:space="0"/>
              <w:bottom w:val="single" w:color="auto" w:sz="6" w:space="0"/>
              <w:right w:val="single" w:color="auto" w:sz="6" w:space="0"/>
            </w:tcBorders>
            <w:vAlign w:val="center"/>
          </w:tcPr>
          <w:p w14:paraId="7C4F4953">
            <w:pPr>
              <w:pStyle w:val="6"/>
              <w:widowControl/>
              <w:ind w:firstLine="0"/>
              <w:jc w:val="center"/>
              <w:rPr>
                <w:rFonts w:ascii="Times New Roman" w:hAnsi="Times New Roman" w:cs="Times New Roman"/>
                <w:b/>
              </w:rPr>
            </w:pPr>
            <w:r>
              <w:rPr>
                <w:rFonts w:ascii="Times New Roman" w:hAnsi="Times New Roman" w:cs="Times New Roman"/>
                <w:b/>
              </w:rPr>
              <w:t>129 228,4658</w:t>
            </w:r>
          </w:p>
        </w:tc>
        <w:tc>
          <w:tcPr>
            <w:tcW w:w="851" w:type="dxa"/>
            <w:tcBorders>
              <w:top w:val="single" w:color="auto" w:sz="6" w:space="0"/>
              <w:left w:val="single" w:color="auto" w:sz="6" w:space="0"/>
              <w:bottom w:val="single" w:color="auto" w:sz="6" w:space="0"/>
              <w:right w:val="single" w:color="auto" w:sz="6" w:space="0"/>
            </w:tcBorders>
            <w:vAlign w:val="center"/>
          </w:tcPr>
          <w:p w14:paraId="2B4EA0E9">
            <w:pPr>
              <w:pStyle w:val="6"/>
              <w:widowControl/>
              <w:ind w:firstLine="0"/>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нет</w:t>
            </w:r>
          </w:p>
        </w:tc>
        <w:tc>
          <w:tcPr>
            <w:tcW w:w="1276" w:type="dxa"/>
            <w:tcBorders>
              <w:top w:val="single" w:color="auto" w:sz="6" w:space="0"/>
              <w:left w:val="single" w:color="auto" w:sz="6" w:space="0"/>
              <w:bottom w:val="single" w:color="auto" w:sz="6" w:space="0"/>
              <w:right w:val="single" w:color="auto" w:sz="6" w:space="0"/>
            </w:tcBorders>
            <w:vAlign w:val="center"/>
          </w:tcPr>
          <w:p w14:paraId="33E5ADFD">
            <w:pPr>
              <w:pStyle w:val="6"/>
              <w:widowControl/>
              <w:ind w:firstLine="0"/>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rPr>
              <w:t>93 135,43</w:t>
            </w:r>
          </w:p>
        </w:tc>
        <w:tc>
          <w:tcPr>
            <w:tcW w:w="1134" w:type="dxa"/>
            <w:tcBorders>
              <w:top w:val="single" w:color="auto" w:sz="6" w:space="0"/>
              <w:left w:val="single" w:color="auto" w:sz="6" w:space="0"/>
              <w:bottom w:val="single" w:color="auto" w:sz="6" w:space="0"/>
              <w:right w:val="single" w:color="auto" w:sz="6" w:space="0"/>
            </w:tcBorders>
            <w:vAlign w:val="center"/>
          </w:tcPr>
          <w:p w14:paraId="6B4DEDC8">
            <w:pPr>
              <w:pStyle w:val="6"/>
              <w:widowControl/>
              <w:ind w:firstLine="0"/>
              <w:jc w:val="center"/>
              <w:rPr>
                <w:rFonts w:ascii="Times New Roman" w:hAnsi="Times New Roman" w:cs="Times New Roman"/>
                <w:bCs/>
              </w:rPr>
            </w:pPr>
            <w:r>
              <w:rPr>
                <w:rFonts w:ascii="Times New Roman" w:hAnsi="Times New Roman" w:cs="Times New Roman"/>
              </w:rPr>
              <w:t>154 498,61</w:t>
            </w:r>
          </w:p>
        </w:tc>
        <w:tc>
          <w:tcPr>
            <w:tcW w:w="1141" w:type="dxa"/>
            <w:tcBorders>
              <w:top w:val="single" w:color="auto" w:sz="6" w:space="0"/>
              <w:left w:val="single" w:color="auto" w:sz="6" w:space="0"/>
              <w:bottom w:val="single" w:color="auto" w:sz="6" w:space="0"/>
              <w:right w:val="single" w:color="auto" w:sz="6" w:space="0"/>
            </w:tcBorders>
            <w:vAlign w:val="center"/>
          </w:tcPr>
          <w:p w14:paraId="49888887">
            <w:pPr>
              <w:pStyle w:val="6"/>
              <w:widowControl/>
              <w:ind w:firstLine="0"/>
              <w:jc w:val="center"/>
              <w:rPr>
                <w:rFonts w:ascii="Times New Roman" w:hAnsi="Times New Roman" w:cs="Times New Roman"/>
              </w:rPr>
            </w:pPr>
            <w:r>
              <w:rPr>
                <w:rFonts w:ascii="Times New Roman" w:hAnsi="Times New Roman" w:cs="Times New Roman"/>
              </w:rPr>
              <w:t>141 396,91</w:t>
            </w:r>
          </w:p>
        </w:tc>
      </w:tr>
    </w:tbl>
    <w:p w14:paraId="64ADA59F">
      <w:pPr>
        <w:pStyle w:val="6"/>
        <w:ind w:firstLine="540"/>
        <w:jc w:val="both"/>
        <w:rPr>
          <w:rFonts w:ascii="Times New Roman" w:hAnsi="Times New Roman" w:cs="Times New Roman"/>
          <w:sz w:val="28"/>
          <w:szCs w:val="28"/>
        </w:rPr>
      </w:pPr>
    </w:p>
    <w:p w14:paraId="7C1BD8B5">
      <w:pPr>
        <w:pStyle w:val="6"/>
        <w:spacing w:before="220"/>
        <w:ind w:firstLine="540"/>
        <w:jc w:val="both"/>
        <w:rPr>
          <w:rFonts w:ascii="Times New Roman" w:hAnsi="Times New Roman" w:cs="Times New Roman"/>
          <w:sz w:val="28"/>
          <w:szCs w:val="28"/>
        </w:rPr>
      </w:pPr>
      <w:r>
        <w:rPr>
          <w:rFonts w:ascii="Times New Roman" w:hAnsi="Times New Roman" w:cs="Times New Roman"/>
          <w:sz w:val="28"/>
          <w:szCs w:val="28"/>
        </w:rPr>
        <w:t>Норматив стоимости одного квадратного метра общей площади жилья на территории поселения не превышает средней рыночной стоимости одного квадратного метра общей площади жилья по Ленинградской области, установленной на соответствующий квартал Министерством строительства и жилищно-коммунального хозяйства Российской Федерации.</w:t>
      </w:r>
    </w:p>
    <w:p w14:paraId="57A38200">
      <w:pPr>
        <w:pStyle w:val="6"/>
        <w:spacing w:before="220"/>
        <w:ind w:left="6372" w:firstLine="708"/>
        <w:jc w:val="both"/>
        <w:rPr>
          <w:rFonts w:ascii="Times New Roman" w:hAnsi="Times New Roman" w:cs="Times New Roman"/>
          <w:b/>
          <w:i/>
          <w:sz w:val="28"/>
          <w:szCs w:val="28"/>
          <w:u w:val="single"/>
        </w:rPr>
      </w:pPr>
      <w:r>
        <w:rPr>
          <w:rFonts w:ascii="Times New Roman" w:hAnsi="Times New Roman" w:cs="Times New Roman"/>
          <w:b/>
          <w:i/>
          <w:sz w:val="28"/>
          <w:szCs w:val="28"/>
          <w:u w:val="single"/>
        </w:rPr>
        <w:t>149 326,00 руб.</w:t>
      </w: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Arial">
    <w:panose1 w:val="020B0604020202020204"/>
    <w:charset w:val="CC"/>
    <w:family w:val="swiss"/>
    <w:pitch w:val="default"/>
    <w:sig w:usb0="E0002EFF" w:usb1="C000785B" w:usb2="00000009" w:usb3="00000000" w:csb0="400001FF" w:csb1="FFFF0000"/>
  </w:font>
  <w:font w:name="Courier New">
    <w:panose1 w:val="02070309020205020404"/>
    <w:charset w:val="CC"/>
    <w:family w:val="modern"/>
    <w:pitch w:val="default"/>
    <w:sig w:usb0="E0002EFF" w:usb1="C0007843" w:usb2="00000009" w:usb3="00000000" w:csb0="400001FF" w:csb1="FFFF0000"/>
  </w:font>
  <w:font w:name="等线">
    <w:altName w:val="Arial Unicode MS"/>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2747FF4"/>
    <w:multiLevelType w:val="multilevel"/>
    <w:tmpl w:val="22747FF4"/>
    <w:lvl w:ilvl="0" w:tentative="0">
      <w:start w:val="1"/>
      <w:numFmt w:val="decimal"/>
      <w:lvlText w:val="%1."/>
      <w:lvlJc w:val="left"/>
      <w:pPr>
        <w:ind w:left="1068" w:hanging="360"/>
      </w:pPr>
      <w:rPr>
        <w:rFonts w:hint="default"/>
      </w:rPr>
    </w:lvl>
    <w:lvl w:ilvl="1" w:tentative="0">
      <w:start w:val="1"/>
      <w:numFmt w:val="lowerLetter"/>
      <w:lvlText w:val="%2."/>
      <w:lvlJc w:val="left"/>
      <w:pPr>
        <w:ind w:left="1788" w:hanging="360"/>
      </w:pPr>
    </w:lvl>
    <w:lvl w:ilvl="2" w:tentative="0">
      <w:start w:val="1"/>
      <w:numFmt w:val="lowerRoman"/>
      <w:lvlText w:val="%3."/>
      <w:lvlJc w:val="right"/>
      <w:pPr>
        <w:ind w:left="2508" w:hanging="180"/>
      </w:pPr>
    </w:lvl>
    <w:lvl w:ilvl="3" w:tentative="0">
      <w:start w:val="1"/>
      <w:numFmt w:val="decimal"/>
      <w:lvlText w:val="%4."/>
      <w:lvlJc w:val="left"/>
      <w:pPr>
        <w:ind w:left="3228" w:hanging="360"/>
      </w:pPr>
    </w:lvl>
    <w:lvl w:ilvl="4" w:tentative="0">
      <w:start w:val="1"/>
      <w:numFmt w:val="lowerLetter"/>
      <w:lvlText w:val="%5."/>
      <w:lvlJc w:val="left"/>
      <w:pPr>
        <w:ind w:left="3948" w:hanging="360"/>
      </w:pPr>
    </w:lvl>
    <w:lvl w:ilvl="5" w:tentative="0">
      <w:start w:val="1"/>
      <w:numFmt w:val="lowerRoman"/>
      <w:lvlText w:val="%6."/>
      <w:lvlJc w:val="right"/>
      <w:pPr>
        <w:ind w:left="4668" w:hanging="180"/>
      </w:pPr>
    </w:lvl>
    <w:lvl w:ilvl="6" w:tentative="0">
      <w:start w:val="1"/>
      <w:numFmt w:val="decimal"/>
      <w:lvlText w:val="%7."/>
      <w:lvlJc w:val="left"/>
      <w:pPr>
        <w:ind w:left="5388" w:hanging="360"/>
      </w:pPr>
    </w:lvl>
    <w:lvl w:ilvl="7" w:tentative="0">
      <w:start w:val="1"/>
      <w:numFmt w:val="lowerLetter"/>
      <w:lvlText w:val="%8."/>
      <w:lvlJc w:val="left"/>
      <w:pPr>
        <w:ind w:left="6108" w:hanging="360"/>
      </w:pPr>
    </w:lvl>
    <w:lvl w:ilvl="8" w:tentative="0">
      <w:start w:val="1"/>
      <w:numFmt w:val="lowerRoman"/>
      <w:lvlText w:val="%9."/>
      <w:lvlJc w:val="right"/>
      <w:pPr>
        <w:ind w:left="6828" w:hanging="180"/>
      </w:pPr>
    </w:lvl>
  </w:abstractNum>
  <w:abstractNum w:abstractNumId="1">
    <w:nsid w:val="344A3ADF"/>
    <w:multiLevelType w:val="multilevel"/>
    <w:tmpl w:val="344A3ADF"/>
    <w:lvl w:ilvl="0" w:tentative="0">
      <w:start w:val="1"/>
      <w:numFmt w:val="decimal"/>
      <w:lvlText w:val="%1."/>
      <w:lvlJc w:val="left"/>
      <w:pPr>
        <w:ind w:left="450" w:hanging="450"/>
      </w:pPr>
      <w:rPr>
        <w:rFonts w:hint="default"/>
      </w:rPr>
    </w:lvl>
    <w:lvl w:ilvl="1" w:tentative="0">
      <w:start w:val="1"/>
      <w:numFmt w:val="decimal"/>
      <w:lvlText w:val="%1.%2."/>
      <w:lvlJc w:val="left"/>
      <w:pPr>
        <w:ind w:left="0" w:firstLine="709"/>
      </w:pPr>
      <w:rPr>
        <w:rFonts w:hint="default"/>
      </w:rPr>
    </w:lvl>
    <w:lvl w:ilvl="2" w:tentative="0">
      <w:start w:val="1"/>
      <w:numFmt w:val="decimal"/>
      <w:lvlText w:val="%1.%2.%3."/>
      <w:lvlJc w:val="left"/>
      <w:pPr>
        <w:ind w:left="1800" w:hanging="720"/>
      </w:pPr>
      <w:rPr>
        <w:rFonts w:hint="default"/>
      </w:rPr>
    </w:lvl>
    <w:lvl w:ilvl="3" w:tentative="0">
      <w:start w:val="1"/>
      <w:numFmt w:val="decimal"/>
      <w:lvlText w:val="%1.%2.%3.%4."/>
      <w:lvlJc w:val="left"/>
      <w:pPr>
        <w:ind w:left="2700" w:hanging="1080"/>
      </w:pPr>
      <w:rPr>
        <w:rFonts w:hint="default"/>
      </w:rPr>
    </w:lvl>
    <w:lvl w:ilvl="4" w:tentative="0">
      <w:start w:val="1"/>
      <w:numFmt w:val="decimal"/>
      <w:lvlText w:val="%1.%2.%3.%4.%5."/>
      <w:lvlJc w:val="left"/>
      <w:pPr>
        <w:ind w:left="3240" w:hanging="1080"/>
      </w:pPr>
      <w:rPr>
        <w:rFonts w:hint="default"/>
      </w:rPr>
    </w:lvl>
    <w:lvl w:ilvl="5" w:tentative="0">
      <w:start w:val="1"/>
      <w:numFmt w:val="decimal"/>
      <w:lvlText w:val="%1.%2.%3.%4.%5.%6."/>
      <w:lvlJc w:val="left"/>
      <w:pPr>
        <w:ind w:left="4140" w:hanging="1440"/>
      </w:pPr>
      <w:rPr>
        <w:rFonts w:hint="default"/>
      </w:rPr>
    </w:lvl>
    <w:lvl w:ilvl="6" w:tentative="0">
      <w:start w:val="1"/>
      <w:numFmt w:val="decimal"/>
      <w:lvlText w:val="%1.%2.%3.%4.%5.%6.%7."/>
      <w:lvlJc w:val="left"/>
      <w:pPr>
        <w:ind w:left="5040" w:hanging="1800"/>
      </w:pPr>
      <w:rPr>
        <w:rFonts w:hint="default"/>
      </w:rPr>
    </w:lvl>
    <w:lvl w:ilvl="7" w:tentative="0">
      <w:start w:val="1"/>
      <w:numFmt w:val="decimal"/>
      <w:lvlText w:val="%1.%2.%3.%4.%5.%6.%7.%8."/>
      <w:lvlJc w:val="left"/>
      <w:pPr>
        <w:ind w:left="5580" w:hanging="1800"/>
      </w:pPr>
      <w:rPr>
        <w:rFonts w:hint="default"/>
      </w:rPr>
    </w:lvl>
    <w:lvl w:ilvl="8" w:tentative="0">
      <w:start w:val="1"/>
      <w:numFmt w:val="decimal"/>
      <w:lvlText w:val="%1.%2.%3.%4.%5.%6.%7.%8.%9."/>
      <w:lvlJc w:val="left"/>
      <w:pPr>
        <w:ind w:left="6480" w:hanging="2160"/>
      </w:pPr>
      <w:rPr>
        <w:rFonts w:hint="default"/>
      </w:rPr>
    </w:lvl>
  </w:abstractNum>
  <w:abstractNum w:abstractNumId="2">
    <w:nsid w:val="64E57E31"/>
    <w:multiLevelType w:val="multilevel"/>
    <w:tmpl w:val="64E57E31"/>
    <w:lvl w:ilvl="0" w:tentative="0">
      <w:start w:val="1"/>
      <w:numFmt w:val="decimal"/>
      <w:lvlText w:val="%1."/>
      <w:lvlJc w:val="left"/>
      <w:pPr>
        <w:ind w:left="0" w:firstLine="708"/>
      </w:pPr>
      <w:rPr>
        <w:rFonts w:hint="default"/>
      </w:rPr>
    </w:lvl>
    <w:lvl w:ilvl="1" w:tentative="0">
      <w:start w:val="1"/>
      <w:numFmt w:val="lowerLetter"/>
      <w:lvlText w:val="%2."/>
      <w:lvlJc w:val="left"/>
      <w:pPr>
        <w:ind w:left="1788" w:hanging="360"/>
      </w:pPr>
    </w:lvl>
    <w:lvl w:ilvl="2" w:tentative="0">
      <w:start w:val="1"/>
      <w:numFmt w:val="lowerRoman"/>
      <w:lvlText w:val="%3."/>
      <w:lvlJc w:val="right"/>
      <w:pPr>
        <w:ind w:left="2508" w:hanging="180"/>
      </w:pPr>
    </w:lvl>
    <w:lvl w:ilvl="3" w:tentative="0">
      <w:start w:val="1"/>
      <w:numFmt w:val="decimal"/>
      <w:lvlText w:val="%4."/>
      <w:lvlJc w:val="left"/>
      <w:pPr>
        <w:ind w:left="3228" w:hanging="360"/>
      </w:pPr>
    </w:lvl>
    <w:lvl w:ilvl="4" w:tentative="0">
      <w:start w:val="1"/>
      <w:numFmt w:val="lowerLetter"/>
      <w:lvlText w:val="%5."/>
      <w:lvlJc w:val="left"/>
      <w:pPr>
        <w:ind w:left="3948" w:hanging="360"/>
      </w:pPr>
    </w:lvl>
    <w:lvl w:ilvl="5" w:tentative="0">
      <w:start w:val="1"/>
      <w:numFmt w:val="lowerRoman"/>
      <w:lvlText w:val="%6."/>
      <w:lvlJc w:val="right"/>
      <w:pPr>
        <w:ind w:left="4668" w:hanging="180"/>
      </w:pPr>
    </w:lvl>
    <w:lvl w:ilvl="6" w:tentative="0">
      <w:start w:val="1"/>
      <w:numFmt w:val="decimal"/>
      <w:lvlText w:val="%7."/>
      <w:lvlJc w:val="left"/>
      <w:pPr>
        <w:ind w:left="5388" w:hanging="360"/>
      </w:pPr>
    </w:lvl>
    <w:lvl w:ilvl="7" w:tentative="0">
      <w:start w:val="1"/>
      <w:numFmt w:val="lowerLetter"/>
      <w:lvlText w:val="%8."/>
      <w:lvlJc w:val="left"/>
      <w:pPr>
        <w:ind w:left="6108" w:hanging="360"/>
      </w:pPr>
    </w:lvl>
    <w:lvl w:ilvl="8" w:tentative="0">
      <w:start w:val="1"/>
      <w:numFmt w:val="lowerRoman"/>
      <w:lvlText w:val="%9."/>
      <w:lvlJc w:val="right"/>
      <w:pPr>
        <w:ind w:left="6828"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21C"/>
    <w:rsid w:val="0015621D"/>
    <w:rsid w:val="002379A8"/>
    <w:rsid w:val="00396221"/>
    <w:rsid w:val="004262D4"/>
    <w:rsid w:val="00576B65"/>
    <w:rsid w:val="005E6A55"/>
    <w:rsid w:val="006504D8"/>
    <w:rsid w:val="006867A2"/>
    <w:rsid w:val="007239C4"/>
    <w:rsid w:val="0086040C"/>
    <w:rsid w:val="00994020"/>
    <w:rsid w:val="009C1B88"/>
    <w:rsid w:val="00A9221C"/>
    <w:rsid w:val="00AB7DFD"/>
    <w:rsid w:val="00AF2546"/>
    <w:rsid w:val="00B44400"/>
    <w:rsid w:val="00BB23E2"/>
    <w:rsid w:val="00BB6416"/>
    <w:rsid w:val="00C17F6F"/>
    <w:rsid w:val="00DA742D"/>
    <w:rsid w:val="00EA64E7"/>
    <w:rsid w:val="00F419E1"/>
    <w:rsid w:val="00F42313"/>
    <w:rsid w:val="00FF4D92"/>
    <w:rsid w:val="3D91584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0" w:semiHidden="0" w:name="List Paragraph"/>
  </w:latentStyles>
  <w:style w:type="paragraph" w:default="1" w:styleId="1">
    <w:name w:val="Normal"/>
    <w:uiPriority w:val="0"/>
    <w:pPr>
      <w:suppressAutoHyphens/>
      <w:autoSpaceDN w:val="0"/>
      <w:spacing w:after="0" w:line="240" w:lineRule="auto"/>
      <w:textAlignment w:val="baseline"/>
    </w:pPr>
    <w:rPr>
      <w:rFonts w:ascii="Times New Roman" w:hAnsi="Times New Roman" w:eastAsia="Times New Roman" w:cs="Times New Roman"/>
      <w:sz w:val="24"/>
      <w:szCs w:val="24"/>
      <w:lang w:val="ru-RU" w:eastAsia="ru-RU"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List Paragraph"/>
    <w:basedOn w:val="1"/>
    <w:link w:val="5"/>
    <w:qFormat/>
    <w:uiPriority w:val="0"/>
    <w:pPr>
      <w:ind w:left="720"/>
      <w:contextualSpacing/>
    </w:pPr>
  </w:style>
  <w:style w:type="character" w:customStyle="1" w:styleId="5">
    <w:name w:val="Абзац списка Знак"/>
    <w:link w:val="4"/>
    <w:qFormat/>
    <w:locked/>
    <w:uiPriority w:val="0"/>
    <w:rPr>
      <w:rFonts w:ascii="Times New Roman" w:hAnsi="Times New Roman" w:eastAsia="Times New Roman" w:cs="Times New Roman"/>
      <w:sz w:val="24"/>
      <w:szCs w:val="24"/>
      <w:lang w:eastAsia="ru-RU"/>
    </w:rPr>
  </w:style>
  <w:style w:type="paragraph" w:customStyle="1" w:styleId="6">
    <w:name w:val="ConsPlusNormal"/>
    <w:uiPriority w:val="0"/>
    <w:pPr>
      <w:widowControl w:val="0"/>
      <w:autoSpaceDE w:val="0"/>
      <w:autoSpaceDN w:val="0"/>
      <w:adjustRightInd w:val="0"/>
      <w:spacing w:after="0" w:line="240" w:lineRule="auto"/>
      <w:ind w:firstLine="720"/>
    </w:pPr>
    <w:rPr>
      <w:rFonts w:ascii="Arial" w:hAnsi="Arial" w:eastAsia="Times New Roman" w:cs="Arial"/>
      <w:sz w:val="20"/>
      <w:szCs w:val="20"/>
      <w:lang w:val="ru-RU" w:eastAsia="ru-RU" w:bidi="ar-SA"/>
    </w:rPr>
  </w:style>
  <w:style w:type="paragraph" w:customStyle="1" w:styleId="7">
    <w:name w:val="ConsPlusNonformat"/>
    <w:qFormat/>
    <w:uiPriority w:val="0"/>
    <w:pPr>
      <w:autoSpaceDE w:val="0"/>
      <w:autoSpaceDN w:val="0"/>
      <w:adjustRightInd w:val="0"/>
      <w:spacing w:after="0" w:line="240" w:lineRule="auto"/>
    </w:pPr>
    <w:rPr>
      <w:rFonts w:ascii="Courier New" w:hAnsi="Courier New" w:eastAsia="Times New Roman" w:cs="Courier New"/>
      <w:sz w:val="20"/>
      <w:szCs w:val="20"/>
      <w:lang w:val="ru-RU" w:eastAsia="ru-RU" w:bidi="ar-SA"/>
    </w:rPr>
  </w:style>
  <w:style w:type="character" w:customStyle="1" w:styleId="8">
    <w:name w:val="Основной текст_"/>
    <w:link w:val="9"/>
    <w:uiPriority w:val="0"/>
    <w:rPr>
      <w:sz w:val="26"/>
      <w:szCs w:val="26"/>
      <w:shd w:val="clear" w:color="auto" w:fill="FFFFFF"/>
    </w:rPr>
  </w:style>
  <w:style w:type="paragraph" w:customStyle="1" w:styleId="9">
    <w:name w:val="Основной текст1"/>
    <w:basedOn w:val="1"/>
    <w:link w:val="8"/>
    <w:uiPriority w:val="0"/>
    <w:pPr>
      <w:shd w:val="clear" w:color="auto" w:fill="FFFFFF"/>
      <w:suppressAutoHyphens w:val="0"/>
      <w:autoSpaceDN/>
      <w:spacing w:before="480" w:after="120" w:line="317" w:lineRule="exact"/>
      <w:jc w:val="center"/>
      <w:textAlignment w:val="auto"/>
    </w:pPr>
    <w:rPr>
      <w:rFonts w:asciiTheme="minorHAnsi" w:hAnsiTheme="minorHAnsi" w:eastAsiaTheme="minorHAnsi" w:cstheme="minorBidi"/>
      <w:sz w:val="26"/>
      <w:szCs w:val="26"/>
      <w:lang w:eastAsia="en-US"/>
    </w:rPr>
  </w:style>
  <w:style w:type="paragraph" w:customStyle="1" w:styleId="10">
    <w:name w:val="ConsPlusTitle"/>
    <w:uiPriority w:val="0"/>
    <w:pPr>
      <w:widowControl w:val="0"/>
      <w:autoSpaceDE w:val="0"/>
      <w:autoSpaceDN w:val="0"/>
      <w:spacing w:after="0" w:line="240" w:lineRule="auto"/>
    </w:pPr>
    <w:rPr>
      <w:rFonts w:ascii="Calibri" w:hAnsi="Calibri" w:cs="Calibri" w:eastAsiaTheme="minorEastAsia"/>
      <w:b/>
      <w:sz w:val="22"/>
      <w:szCs w:val="22"/>
      <w:lang w:val="ru-RU" w:eastAsia="ru-RU"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2.wmf"/><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1200</Words>
  <Characters>6840</Characters>
  <Lines>57</Lines>
  <Paragraphs>16</Paragraphs>
  <TotalTime>2230</TotalTime>
  <ScaleCrop>false</ScaleCrop>
  <LinksUpToDate>false</LinksUpToDate>
  <CharactersWithSpaces>8024</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2025-01-23T08:42:00Z</dcterms:created>
  <dc:creator>User</dc:creator>
  <cp:lastModifiedBy>Елизавета Черно�</cp:lastModifiedBy>
  <dcterms:modified xsi:type="dcterms:W3CDTF">2025-10-06T07:59:10Z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09D83331C0624D7EB4D3535652138A91_13</vt:lpwstr>
  </property>
</Properties>
</file>